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0480" w14:textId="16889C95" w:rsidR="00112998" w:rsidRPr="00112998" w:rsidRDefault="00112998" w:rsidP="0097062A">
      <w:pPr>
        <w:pStyle w:val="Heading1"/>
      </w:pPr>
      <w:bookmarkStart w:id="0" w:name="_Toc184286989"/>
      <w:bookmarkStart w:id="1" w:name="_Toc184287158"/>
      <w:r w:rsidRPr="00D17A61">
        <w:rPr>
          <w:b/>
          <w:bCs/>
        </w:rPr>
        <w:t>State of the Disability Sector Report</w:t>
      </w:r>
      <w:r w:rsidRPr="00112998">
        <w:t xml:space="preserve"> 2024</w:t>
      </w:r>
      <w:bookmarkEnd w:id="0"/>
      <w:bookmarkEnd w:id="1"/>
    </w:p>
    <w:p w14:paraId="187B24C1" w14:textId="77777777" w:rsidR="00A171D2" w:rsidRDefault="00112998" w:rsidP="00A171D2">
      <w:r w:rsidRPr="00112998">
        <w:t>Disability service providers remain resilient and determined to thrive despite an operating environment that continues to create significant challenges for the sector. Financial viability is an issue for many providers, with concerns that this will cause widespread disruption to services to people with disability.</w:t>
      </w:r>
    </w:p>
    <w:p w14:paraId="1A538E09" w14:textId="473DD1A3" w:rsidR="004316F3" w:rsidRDefault="00112998" w:rsidP="00F61809">
      <w:pPr>
        <w:pStyle w:val="Heading2"/>
        <w:pageBreakBefore w:val="0"/>
        <w:spacing w:before="3360"/>
      </w:pPr>
      <w:bookmarkStart w:id="2" w:name="_Toc184287159"/>
      <w:r w:rsidRPr="00112998">
        <w:t>Cover art</w:t>
      </w:r>
      <w:bookmarkEnd w:id="2"/>
    </w:p>
    <w:p w14:paraId="2F179838" w14:textId="1371166F" w:rsidR="004316F3" w:rsidRDefault="00112998" w:rsidP="0097062A">
      <w:r w:rsidRPr="00112998">
        <w:rPr>
          <w:b/>
          <w:bCs/>
        </w:rPr>
        <w:t xml:space="preserve">Arts Project Australia </w:t>
      </w:r>
      <w:r w:rsidRPr="00112998">
        <w:t>is</w:t>
      </w:r>
      <w:r w:rsidR="004316F3">
        <w:t xml:space="preserve"> </w:t>
      </w:r>
      <w:r w:rsidRPr="00112998">
        <w:t>a creative social enterprise that supports artists with intellectual disabilities, promotes their work and advocates for their inclusion in contemporary art practice.</w:t>
      </w:r>
    </w:p>
    <w:p w14:paraId="5A4B7FEA" w14:textId="373770F0" w:rsidR="00112998" w:rsidRPr="00112998" w:rsidRDefault="00112998" w:rsidP="0097062A">
      <w:r w:rsidRPr="00112998">
        <w:rPr>
          <w:b/>
          <w:bCs/>
        </w:rPr>
        <w:t xml:space="preserve">Anna Dehm </w:t>
      </w:r>
      <w:r w:rsidRPr="00112998">
        <w:t>is an emerging artist who joined Arts Project Australia in 2021. Anna expresses her creativity through vibrant and captivating artworks made with markers and mixed media techniques such as collage.</w:t>
      </w:r>
    </w:p>
    <w:p w14:paraId="24C3F236" w14:textId="3BA5C4C5" w:rsidR="00CD06C0" w:rsidRDefault="00D933BC" w:rsidP="00CD06C0">
      <w:pPr>
        <w:sectPr w:rsidR="00CD06C0" w:rsidSect="00CD06C0">
          <w:headerReference w:type="default" r:id="rId11"/>
          <w:footerReference w:type="default" r:id="rId12"/>
          <w:pgSz w:w="11906" w:h="16838"/>
          <w:pgMar w:top="1440" w:right="1440" w:bottom="1440" w:left="1440" w:header="708" w:footer="708" w:gutter="0"/>
          <w:cols w:space="708"/>
          <w:docGrid w:linePitch="360"/>
        </w:sectPr>
      </w:pPr>
      <w:r>
        <w:t>The</w:t>
      </w:r>
      <w:r w:rsidR="00112998" w:rsidRPr="00112998">
        <w:t xml:space="preserve"> report was printed by the Flagstaff Group at their premises in Unanderra. A registered NDIS provider, Flagstaff offers community programs and employment for people with disability.</w:t>
      </w:r>
      <w:r w:rsidR="00CD06C0" w:rsidRPr="00CD06C0">
        <w:t xml:space="preserve"> </w:t>
      </w:r>
    </w:p>
    <w:bookmarkStart w:id="3" w:name="_Toc180593623" w:displacedByCustomXml="next"/>
    <w:bookmarkStart w:id="4" w:name="_Toc181351996" w:displacedByCustomXml="next"/>
    <w:sdt>
      <w:sdtPr>
        <w:rPr>
          <w:rFonts w:eastAsia="Arial"/>
          <w:color w:val="auto"/>
          <w:kern w:val="2"/>
          <w:sz w:val="24"/>
          <w:szCs w:val="24"/>
          <w:lang w:val="en-AU"/>
          <w14:ligatures w14:val="standardContextual"/>
        </w:rPr>
        <w:id w:val="-1189670426"/>
        <w:docPartObj>
          <w:docPartGallery w:val="Table of Contents"/>
          <w:docPartUnique/>
        </w:docPartObj>
      </w:sdtPr>
      <w:sdtEndPr>
        <w:rPr>
          <w:b/>
          <w:bCs/>
          <w:noProof/>
        </w:rPr>
      </w:sdtEndPr>
      <w:sdtContent>
        <w:p w14:paraId="287AE8EF" w14:textId="77777777" w:rsidR="00E92AAE" w:rsidRDefault="00AB194B" w:rsidP="00AB194B">
          <w:pPr>
            <w:pStyle w:val="TOCHeading"/>
            <w:rPr>
              <w:noProof/>
            </w:rPr>
          </w:pPr>
          <w:r>
            <w:t>Contents</w:t>
          </w:r>
          <w:r>
            <w:fldChar w:fldCharType="begin"/>
          </w:r>
          <w:r>
            <w:instrText xml:space="preserve"> TOC \o "1-2" \h \z \u </w:instrText>
          </w:r>
          <w:r>
            <w:fldChar w:fldCharType="separate"/>
          </w:r>
        </w:p>
        <w:p w14:paraId="4EC4C460" w14:textId="2F314029" w:rsidR="00E92AAE" w:rsidRDefault="00E92AAE">
          <w:pPr>
            <w:pStyle w:val="TOC2"/>
            <w:tabs>
              <w:tab w:val="right" w:leader="dot" w:pos="9016"/>
            </w:tabs>
            <w:rPr>
              <w:rFonts w:asciiTheme="minorHAnsi" w:eastAsiaTheme="minorEastAsia" w:hAnsiTheme="minorHAnsi" w:cstheme="minorBidi"/>
              <w:noProof/>
              <w:lang w:eastAsia="en-AU"/>
            </w:rPr>
          </w:pPr>
          <w:hyperlink w:anchor="_Toc184287159" w:history="1">
            <w:r w:rsidRPr="00DF7D18">
              <w:rPr>
                <w:rStyle w:val="Hyperlink"/>
                <w:noProof/>
              </w:rPr>
              <w:t>Cover art</w:t>
            </w:r>
            <w:r>
              <w:rPr>
                <w:noProof/>
                <w:webHidden/>
              </w:rPr>
              <w:tab/>
            </w:r>
            <w:r>
              <w:rPr>
                <w:noProof/>
                <w:webHidden/>
              </w:rPr>
              <w:fldChar w:fldCharType="begin"/>
            </w:r>
            <w:r>
              <w:rPr>
                <w:noProof/>
                <w:webHidden/>
              </w:rPr>
              <w:instrText xml:space="preserve"> PAGEREF _Toc184287159 \h </w:instrText>
            </w:r>
            <w:r>
              <w:rPr>
                <w:noProof/>
                <w:webHidden/>
              </w:rPr>
            </w:r>
            <w:r>
              <w:rPr>
                <w:noProof/>
                <w:webHidden/>
              </w:rPr>
              <w:fldChar w:fldCharType="separate"/>
            </w:r>
            <w:r>
              <w:rPr>
                <w:noProof/>
                <w:webHidden/>
              </w:rPr>
              <w:t>2</w:t>
            </w:r>
            <w:r>
              <w:rPr>
                <w:noProof/>
                <w:webHidden/>
              </w:rPr>
              <w:fldChar w:fldCharType="end"/>
            </w:r>
          </w:hyperlink>
        </w:p>
        <w:p w14:paraId="6DAE700A" w14:textId="5500DF2E" w:rsidR="00E92AAE" w:rsidRDefault="00E92AAE">
          <w:pPr>
            <w:pStyle w:val="TOC2"/>
            <w:tabs>
              <w:tab w:val="right" w:leader="dot" w:pos="9016"/>
            </w:tabs>
            <w:rPr>
              <w:rFonts w:asciiTheme="minorHAnsi" w:eastAsiaTheme="minorEastAsia" w:hAnsiTheme="minorHAnsi" w:cstheme="minorBidi"/>
              <w:noProof/>
              <w:lang w:eastAsia="en-AU"/>
            </w:rPr>
          </w:pPr>
          <w:hyperlink w:anchor="_Toc184287160" w:history="1">
            <w:r w:rsidRPr="00DF7D18">
              <w:rPr>
                <w:rStyle w:val="Hyperlink"/>
                <w:noProof/>
              </w:rPr>
              <w:t>The state of play</w:t>
            </w:r>
            <w:r>
              <w:rPr>
                <w:noProof/>
                <w:webHidden/>
              </w:rPr>
              <w:tab/>
            </w:r>
            <w:r>
              <w:rPr>
                <w:noProof/>
                <w:webHidden/>
              </w:rPr>
              <w:fldChar w:fldCharType="begin"/>
            </w:r>
            <w:r>
              <w:rPr>
                <w:noProof/>
                <w:webHidden/>
              </w:rPr>
              <w:instrText xml:space="preserve"> PAGEREF _Toc184287160 \h </w:instrText>
            </w:r>
            <w:r>
              <w:rPr>
                <w:noProof/>
                <w:webHidden/>
              </w:rPr>
            </w:r>
            <w:r>
              <w:rPr>
                <w:noProof/>
                <w:webHidden/>
              </w:rPr>
              <w:fldChar w:fldCharType="separate"/>
            </w:r>
            <w:r>
              <w:rPr>
                <w:noProof/>
                <w:webHidden/>
              </w:rPr>
              <w:t>5</w:t>
            </w:r>
            <w:r>
              <w:rPr>
                <w:noProof/>
                <w:webHidden/>
              </w:rPr>
              <w:fldChar w:fldCharType="end"/>
            </w:r>
          </w:hyperlink>
        </w:p>
        <w:p w14:paraId="580D0F51" w14:textId="444C680D" w:rsidR="00E92AAE" w:rsidRDefault="00E92AAE">
          <w:pPr>
            <w:pStyle w:val="TOC2"/>
            <w:tabs>
              <w:tab w:val="right" w:leader="dot" w:pos="9016"/>
            </w:tabs>
            <w:rPr>
              <w:rFonts w:asciiTheme="minorHAnsi" w:eastAsiaTheme="minorEastAsia" w:hAnsiTheme="minorHAnsi" w:cstheme="minorBidi"/>
              <w:noProof/>
              <w:lang w:eastAsia="en-AU"/>
            </w:rPr>
          </w:pPr>
          <w:hyperlink w:anchor="_Toc184287161" w:history="1">
            <w:r w:rsidRPr="00DF7D18">
              <w:rPr>
                <w:rStyle w:val="Hyperlink"/>
                <w:noProof/>
              </w:rPr>
              <w:t>The way forward</w:t>
            </w:r>
            <w:r>
              <w:rPr>
                <w:noProof/>
                <w:webHidden/>
              </w:rPr>
              <w:tab/>
            </w:r>
            <w:r>
              <w:rPr>
                <w:noProof/>
                <w:webHidden/>
              </w:rPr>
              <w:fldChar w:fldCharType="begin"/>
            </w:r>
            <w:r>
              <w:rPr>
                <w:noProof/>
                <w:webHidden/>
              </w:rPr>
              <w:instrText xml:space="preserve"> PAGEREF _Toc184287161 \h </w:instrText>
            </w:r>
            <w:r>
              <w:rPr>
                <w:noProof/>
                <w:webHidden/>
              </w:rPr>
            </w:r>
            <w:r>
              <w:rPr>
                <w:noProof/>
                <w:webHidden/>
              </w:rPr>
              <w:fldChar w:fldCharType="separate"/>
            </w:r>
            <w:r>
              <w:rPr>
                <w:noProof/>
                <w:webHidden/>
              </w:rPr>
              <w:t>8</w:t>
            </w:r>
            <w:r>
              <w:rPr>
                <w:noProof/>
                <w:webHidden/>
              </w:rPr>
              <w:fldChar w:fldCharType="end"/>
            </w:r>
          </w:hyperlink>
        </w:p>
        <w:p w14:paraId="08116E9F" w14:textId="1246593C" w:rsidR="00E92AAE" w:rsidRDefault="00E92AAE">
          <w:pPr>
            <w:pStyle w:val="TOC2"/>
            <w:tabs>
              <w:tab w:val="right" w:leader="dot" w:pos="9016"/>
            </w:tabs>
            <w:rPr>
              <w:rFonts w:asciiTheme="minorHAnsi" w:eastAsiaTheme="minorEastAsia" w:hAnsiTheme="minorHAnsi" w:cstheme="minorBidi"/>
              <w:noProof/>
              <w:lang w:eastAsia="en-AU"/>
            </w:rPr>
          </w:pPr>
          <w:hyperlink w:anchor="_Toc184287162" w:history="1">
            <w:r w:rsidRPr="00DF7D18">
              <w:rPr>
                <w:rStyle w:val="Hyperlink"/>
                <w:noProof/>
              </w:rPr>
              <w:t>The state of disability reform</w:t>
            </w:r>
            <w:r>
              <w:rPr>
                <w:noProof/>
                <w:webHidden/>
              </w:rPr>
              <w:tab/>
            </w:r>
            <w:r>
              <w:rPr>
                <w:noProof/>
                <w:webHidden/>
              </w:rPr>
              <w:fldChar w:fldCharType="begin"/>
            </w:r>
            <w:r>
              <w:rPr>
                <w:noProof/>
                <w:webHidden/>
              </w:rPr>
              <w:instrText xml:space="preserve"> PAGEREF _Toc184287162 \h </w:instrText>
            </w:r>
            <w:r>
              <w:rPr>
                <w:noProof/>
                <w:webHidden/>
              </w:rPr>
            </w:r>
            <w:r>
              <w:rPr>
                <w:noProof/>
                <w:webHidden/>
              </w:rPr>
              <w:fldChar w:fldCharType="separate"/>
            </w:r>
            <w:r>
              <w:rPr>
                <w:noProof/>
                <w:webHidden/>
              </w:rPr>
              <w:t>10</w:t>
            </w:r>
            <w:r>
              <w:rPr>
                <w:noProof/>
                <w:webHidden/>
              </w:rPr>
              <w:fldChar w:fldCharType="end"/>
            </w:r>
          </w:hyperlink>
        </w:p>
        <w:p w14:paraId="1FCD7539" w14:textId="202B0746" w:rsidR="00E92AAE" w:rsidRDefault="00E92AAE">
          <w:pPr>
            <w:pStyle w:val="TOC2"/>
            <w:tabs>
              <w:tab w:val="right" w:leader="dot" w:pos="9016"/>
            </w:tabs>
            <w:rPr>
              <w:rFonts w:asciiTheme="minorHAnsi" w:eastAsiaTheme="minorEastAsia" w:hAnsiTheme="minorHAnsi" w:cstheme="minorBidi"/>
              <w:noProof/>
              <w:lang w:eastAsia="en-AU"/>
            </w:rPr>
          </w:pPr>
          <w:hyperlink w:anchor="_Toc184287163" w:history="1">
            <w:r w:rsidRPr="00DF7D18">
              <w:rPr>
                <w:rStyle w:val="Hyperlink"/>
                <w:noProof/>
              </w:rPr>
              <w:t>The state of the operating environment</w:t>
            </w:r>
            <w:r>
              <w:rPr>
                <w:noProof/>
                <w:webHidden/>
              </w:rPr>
              <w:tab/>
            </w:r>
            <w:r>
              <w:rPr>
                <w:noProof/>
                <w:webHidden/>
              </w:rPr>
              <w:fldChar w:fldCharType="begin"/>
            </w:r>
            <w:r>
              <w:rPr>
                <w:noProof/>
                <w:webHidden/>
              </w:rPr>
              <w:instrText xml:space="preserve"> PAGEREF _Toc184287163 \h </w:instrText>
            </w:r>
            <w:r>
              <w:rPr>
                <w:noProof/>
                <w:webHidden/>
              </w:rPr>
            </w:r>
            <w:r>
              <w:rPr>
                <w:noProof/>
                <w:webHidden/>
              </w:rPr>
              <w:fldChar w:fldCharType="separate"/>
            </w:r>
            <w:r>
              <w:rPr>
                <w:noProof/>
                <w:webHidden/>
              </w:rPr>
              <w:t>16</w:t>
            </w:r>
            <w:r>
              <w:rPr>
                <w:noProof/>
                <w:webHidden/>
              </w:rPr>
              <w:fldChar w:fldCharType="end"/>
            </w:r>
          </w:hyperlink>
        </w:p>
        <w:p w14:paraId="2816CCAC" w14:textId="1539662D" w:rsidR="00E92AAE" w:rsidRDefault="00E92AAE">
          <w:pPr>
            <w:pStyle w:val="TOC2"/>
            <w:tabs>
              <w:tab w:val="right" w:leader="dot" w:pos="9016"/>
            </w:tabs>
            <w:rPr>
              <w:rFonts w:asciiTheme="minorHAnsi" w:eastAsiaTheme="minorEastAsia" w:hAnsiTheme="minorHAnsi" w:cstheme="minorBidi"/>
              <w:noProof/>
              <w:lang w:eastAsia="en-AU"/>
            </w:rPr>
          </w:pPr>
          <w:hyperlink w:anchor="_Toc184287164" w:history="1">
            <w:r w:rsidRPr="00DF7D18">
              <w:rPr>
                <w:rStyle w:val="Hyperlink"/>
                <w:noProof/>
              </w:rPr>
              <w:t>Member story: helping people have a great life</w:t>
            </w:r>
            <w:r>
              <w:rPr>
                <w:noProof/>
                <w:webHidden/>
              </w:rPr>
              <w:tab/>
            </w:r>
            <w:r>
              <w:rPr>
                <w:noProof/>
                <w:webHidden/>
              </w:rPr>
              <w:fldChar w:fldCharType="begin"/>
            </w:r>
            <w:r>
              <w:rPr>
                <w:noProof/>
                <w:webHidden/>
              </w:rPr>
              <w:instrText xml:space="preserve"> PAGEREF _Toc184287164 \h </w:instrText>
            </w:r>
            <w:r>
              <w:rPr>
                <w:noProof/>
                <w:webHidden/>
              </w:rPr>
            </w:r>
            <w:r>
              <w:rPr>
                <w:noProof/>
                <w:webHidden/>
              </w:rPr>
              <w:fldChar w:fldCharType="separate"/>
            </w:r>
            <w:r>
              <w:rPr>
                <w:noProof/>
                <w:webHidden/>
              </w:rPr>
              <w:t>47</w:t>
            </w:r>
            <w:r>
              <w:rPr>
                <w:noProof/>
                <w:webHidden/>
              </w:rPr>
              <w:fldChar w:fldCharType="end"/>
            </w:r>
          </w:hyperlink>
        </w:p>
        <w:p w14:paraId="0DB6A879" w14:textId="2B1CBC32" w:rsidR="00E92AAE" w:rsidRDefault="00E92AAE">
          <w:pPr>
            <w:pStyle w:val="TOC2"/>
            <w:tabs>
              <w:tab w:val="right" w:leader="dot" w:pos="9016"/>
            </w:tabs>
            <w:rPr>
              <w:rFonts w:asciiTheme="minorHAnsi" w:eastAsiaTheme="minorEastAsia" w:hAnsiTheme="minorHAnsi" w:cstheme="minorBidi"/>
              <w:noProof/>
              <w:lang w:eastAsia="en-AU"/>
            </w:rPr>
          </w:pPr>
          <w:hyperlink w:anchor="_Toc184287165" w:history="1">
            <w:r w:rsidRPr="00DF7D18">
              <w:rPr>
                <w:rStyle w:val="Hyperlink"/>
                <w:noProof/>
              </w:rPr>
              <w:t>Member story: social participation</w:t>
            </w:r>
            <w:r>
              <w:rPr>
                <w:noProof/>
                <w:webHidden/>
              </w:rPr>
              <w:tab/>
            </w:r>
            <w:r>
              <w:rPr>
                <w:noProof/>
                <w:webHidden/>
              </w:rPr>
              <w:fldChar w:fldCharType="begin"/>
            </w:r>
            <w:r>
              <w:rPr>
                <w:noProof/>
                <w:webHidden/>
              </w:rPr>
              <w:instrText xml:space="preserve"> PAGEREF _Toc184287165 \h </w:instrText>
            </w:r>
            <w:r>
              <w:rPr>
                <w:noProof/>
                <w:webHidden/>
              </w:rPr>
            </w:r>
            <w:r>
              <w:rPr>
                <w:noProof/>
                <w:webHidden/>
              </w:rPr>
              <w:fldChar w:fldCharType="separate"/>
            </w:r>
            <w:r>
              <w:rPr>
                <w:noProof/>
                <w:webHidden/>
              </w:rPr>
              <w:t>50</w:t>
            </w:r>
            <w:r>
              <w:rPr>
                <w:noProof/>
                <w:webHidden/>
              </w:rPr>
              <w:fldChar w:fldCharType="end"/>
            </w:r>
          </w:hyperlink>
        </w:p>
        <w:p w14:paraId="3369D019" w14:textId="7C285DC8" w:rsidR="00E92AAE" w:rsidRDefault="00E92AAE">
          <w:pPr>
            <w:pStyle w:val="TOC2"/>
            <w:tabs>
              <w:tab w:val="right" w:leader="dot" w:pos="9016"/>
            </w:tabs>
            <w:rPr>
              <w:rFonts w:asciiTheme="minorHAnsi" w:eastAsiaTheme="minorEastAsia" w:hAnsiTheme="minorHAnsi" w:cstheme="minorBidi"/>
              <w:noProof/>
              <w:lang w:eastAsia="en-AU"/>
            </w:rPr>
          </w:pPr>
          <w:hyperlink w:anchor="_Toc184287166" w:history="1">
            <w:r w:rsidRPr="00DF7D18">
              <w:rPr>
                <w:rStyle w:val="Hyperlink"/>
                <w:noProof/>
              </w:rPr>
              <w:t>Member story: supporting people with disability in a country Victoria town</w:t>
            </w:r>
            <w:r>
              <w:rPr>
                <w:noProof/>
                <w:webHidden/>
              </w:rPr>
              <w:tab/>
            </w:r>
            <w:r>
              <w:rPr>
                <w:noProof/>
                <w:webHidden/>
              </w:rPr>
              <w:fldChar w:fldCharType="begin"/>
            </w:r>
            <w:r>
              <w:rPr>
                <w:noProof/>
                <w:webHidden/>
              </w:rPr>
              <w:instrText xml:space="preserve"> PAGEREF _Toc184287166 \h </w:instrText>
            </w:r>
            <w:r>
              <w:rPr>
                <w:noProof/>
                <w:webHidden/>
              </w:rPr>
            </w:r>
            <w:r>
              <w:rPr>
                <w:noProof/>
                <w:webHidden/>
              </w:rPr>
              <w:fldChar w:fldCharType="separate"/>
            </w:r>
            <w:r>
              <w:rPr>
                <w:noProof/>
                <w:webHidden/>
              </w:rPr>
              <w:t>53</w:t>
            </w:r>
            <w:r>
              <w:rPr>
                <w:noProof/>
                <w:webHidden/>
              </w:rPr>
              <w:fldChar w:fldCharType="end"/>
            </w:r>
          </w:hyperlink>
        </w:p>
        <w:p w14:paraId="7D611403" w14:textId="6F409D2E" w:rsidR="00E92AAE" w:rsidRDefault="00E92AAE">
          <w:pPr>
            <w:pStyle w:val="TOC2"/>
            <w:tabs>
              <w:tab w:val="right" w:leader="dot" w:pos="9016"/>
            </w:tabs>
            <w:rPr>
              <w:rFonts w:asciiTheme="minorHAnsi" w:eastAsiaTheme="minorEastAsia" w:hAnsiTheme="minorHAnsi" w:cstheme="minorBidi"/>
              <w:noProof/>
              <w:lang w:eastAsia="en-AU"/>
            </w:rPr>
          </w:pPr>
          <w:hyperlink w:anchor="_Toc184287167" w:history="1">
            <w:r w:rsidRPr="00DF7D18">
              <w:rPr>
                <w:rStyle w:val="Hyperlink"/>
                <w:noProof/>
              </w:rPr>
              <w:t>The state of quality and safeguarding</w:t>
            </w:r>
            <w:r>
              <w:rPr>
                <w:noProof/>
                <w:webHidden/>
              </w:rPr>
              <w:tab/>
            </w:r>
            <w:r>
              <w:rPr>
                <w:noProof/>
                <w:webHidden/>
              </w:rPr>
              <w:fldChar w:fldCharType="begin"/>
            </w:r>
            <w:r>
              <w:rPr>
                <w:noProof/>
                <w:webHidden/>
              </w:rPr>
              <w:instrText xml:space="preserve"> PAGEREF _Toc184287167 \h </w:instrText>
            </w:r>
            <w:r>
              <w:rPr>
                <w:noProof/>
                <w:webHidden/>
              </w:rPr>
            </w:r>
            <w:r>
              <w:rPr>
                <w:noProof/>
                <w:webHidden/>
              </w:rPr>
              <w:fldChar w:fldCharType="separate"/>
            </w:r>
            <w:r>
              <w:rPr>
                <w:noProof/>
                <w:webHidden/>
              </w:rPr>
              <w:t>57</w:t>
            </w:r>
            <w:r>
              <w:rPr>
                <w:noProof/>
                <w:webHidden/>
              </w:rPr>
              <w:fldChar w:fldCharType="end"/>
            </w:r>
          </w:hyperlink>
        </w:p>
        <w:p w14:paraId="1049BB7E" w14:textId="4B01CF4E" w:rsidR="00E92AAE" w:rsidRDefault="00E92AAE">
          <w:pPr>
            <w:pStyle w:val="TOC2"/>
            <w:tabs>
              <w:tab w:val="right" w:leader="dot" w:pos="9016"/>
            </w:tabs>
            <w:rPr>
              <w:rFonts w:asciiTheme="minorHAnsi" w:eastAsiaTheme="minorEastAsia" w:hAnsiTheme="minorHAnsi" w:cstheme="minorBidi"/>
              <w:noProof/>
              <w:lang w:eastAsia="en-AU"/>
            </w:rPr>
          </w:pPr>
          <w:hyperlink w:anchor="_Toc184287168" w:history="1">
            <w:r w:rsidRPr="00DF7D18">
              <w:rPr>
                <w:rStyle w:val="Hyperlink"/>
                <w:noProof/>
              </w:rPr>
              <w:t>Member story: early childhood services</w:t>
            </w:r>
            <w:r>
              <w:rPr>
                <w:noProof/>
                <w:webHidden/>
              </w:rPr>
              <w:tab/>
            </w:r>
            <w:r>
              <w:rPr>
                <w:noProof/>
                <w:webHidden/>
              </w:rPr>
              <w:fldChar w:fldCharType="begin"/>
            </w:r>
            <w:r>
              <w:rPr>
                <w:noProof/>
                <w:webHidden/>
              </w:rPr>
              <w:instrText xml:space="preserve"> PAGEREF _Toc184287168 \h </w:instrText>
            </w:r>
            <w:r>
              <w:rPr>
                <w:noProof/>
                <w:webHidden/>
              </w:rPr>
            </w:r>
            <w:r>
              <w:rPr>
                <w:noProof/>
                <w:webHidden/>
              </w:rPr>
              <w:fldChar w:fldCharType="separate"/>
            </w:r>
            <w:r>
              <w:rPr>
                <w:noProof/>
                <w:webHidden/>
              </w:rPr>
              <w:t>68</w:t>
            </w:r>
            <w:r>
              <w:rPr>
                <w:noProof/>
                <w:webHidden/>
              </w:rPr>
              <w:fldChar w:fldCharType="end"/>
            </w:r>
          </w:hyperlink>
        </w:p>
        <w:p w14:paraId="77AA82BF" w14:textId="5959EC67" w:rsidR="00E92AAE" w:rsidRDefault="00E92AAE">
          <w:pPr>
            <w:pStyle w:val="TOC2"/>
            <w:tabs>
              <w:tab w:val="right" w:leader="dot" w:pos="9016"/>
            </w:tabs>
            <w:rPr>
              <w:rFonts w:asciiTheme="minorHAnsi" w:eastAsiaTheme="minorEastAsia" w:hAnsiTheme="minorHAnsi" w:cstheme="minorBidi"/>
              <w:noProof/>
              <w:lang w:eastAsia="en-AU"/>
            </w:rPr>
          </w:pPr>
          <w:hyperlink w:anchor="_Toc184287169" w:history="1">
            <w:r w:rsidRPr="00DF7D18">
              <w:rPr>
                <w:rStyle w:val="Hyperlink"/>
                <w:noProof/>
              </w:rPr>
              <w:t>Member story: supporting Aboriginal people with disability</w:t>
            </w:r>
            <w:r>
              <w:rPr>
                <w:noProof/>
                <w:webHidden/>
              </w:rPr>
              <w:tab/>
            </w:r>
            <w:r>
              <w:rPr>
                <w:noProof/>
                <w:webHidden/>
              </w:rPr>
              <w:fldChar w:fldCharType="begin"/>
            </w:r>
            <w:r>
              <w:rPr>
                <w:noProof/>
                <w:webHidden/>
              </w:rPr>
              <w:instrText xml:space="preserve"> PAGEREF _Toc184287169 \h </w:instrText>
            </w:r>
            <w:r>
              <w:rPr>
                <w:noProof/>
                <w:webHidden/>
              </w:rPr>
            </w:r>
            <w:r>
              <w:rPr>
                <w:noProof/>
                <w:webHidden/>
              </w:rPr>
              <w:fldChar w:fldCharType="separate"/>
            </w:r>
            <w:r>
              <w:rPr>
                <w:noProof/>
                <w:webHidden/>
              </w:rPr>
              <w:t>72</w:t>
            </w:r>
            <w:r>
              <w:rPr>
                <w:noProof/>
                <w:webHidden/>
              </w:rPr>
              <w:fldChar w:fldCharType="end"/>
            </w:r>
          </w:hyperlink>
        </w:p>
        <w:p w14:paraId="6366DF82" w14:textId="64C5D195" w:rsidR="00E92AAE" w:rsidRDefault="00E92AAE">
          <w:pPr>
            <w:pStyle w:val="TOC2"/>
            <w:tabs>
              <w:tab w:val="right" w:leader="dot" w:pos="9016"/>
            </w:tabs>
            <w:rPr>
              <w:rFonts w:asciiTheme="minorHAnsi" w:eastAsiaTheme="minorEastAsia" w:hAnsiTheme="minorHAnsi" w:cstheme="minorBidi"/>
              <w:noProof/>
              <w:lang w:eastAsia="en-AU"/>
            </w:rPr>
          </w:pPr>
          <w:hyperlink w:anchor="_Toc184287170" w:history="1">
            <w:r w:rsidRPr="00DF7D18">
              <w:rPr>
                <w:rStyle w:val="Hyperlink"/>
                <w:noProof/>
              </w:rPr>
              <w:t>Member story: allied health services</w:t>
            </w:r>
            <w:r>
              <w:rPr>
                <w:noProof/>
                <w:webHidden/>
              </w:rPr>
              <w:tab/>
            </w:r>
            <w:r>
              <w:rPr>
                <w:noProof/>
                <w:webHidden/>
              </w:rPr>
              <w:fldChar w:fldCharType="begin"/>
            </w:r>
            <w:r>
              <w:rPr>
                <w:noProof/>
                <w:webHidden/>
              </w:rPr>
              <w:instrText xml:space="preserve"> PAGEREF _Toc184287170 \h </w:instrText>
            </w:r>
            <w:r>
              <w:rPr>
                <w:noProof/>
                <w:webHidden/>
              </w:rPr>
            </w:r>
            <w:r>
              <w:rPr>
                <w:noProof/>
                <w:webHidden/>
              </w:rPr>
              <w:fldChar w:fldCharType="separate"/>
            </w:r>
            <w:r>
              <w:rPr>
                <w:noProof/>
                <w:webHidden/>
              </w:rPr>
              <w:t>75</w:t>
            </w:r>
            <w:r>
              <w:rPr>
                <w:noProof/>
                <w:webHidden/>
              </w:rPr>
              <w:fldChar w:fldCharType="end"/>
            </w:r>
          </w:hyperlink>
        </w:p>
        <w:p w14:paraId="7C995D75" w14:textId="77228E02" w:rsidR="00E92AAE" w:rsidRDefault="00E92AAE">
          <w:pPr>
            <w:pStyle w:val="TOC2"/>
            <w:tabs>
              <w:tab w:val="right" w:leader="dot" w:pos="9016"/>
            </w:tabs>
            <w:rPr>
              <w:rFonts w:asciiTheme="minorHAnsi" w:eastAsiaTheme="minorEastAsia" w:hAnsiTheme="minorHAnsi" w:cstheme="minorBidi"/>
              <w:noProof/>
              <w:lang w:eastAsia="en-AU"/>
            </w:rPr>
          </w:pPr>
          <w:hyperlink w:anchor="_Toc184287171" w:history="1">
            <w:r w:rsidRPr="00DF7D18">
              <w:rPr>
                <w:rStyle w:val="Hyperlink"/>
                <w:noProof/>
              </w:rPr>
              <w:t>The state of the workforce</w:t>
            </w:r>
            <w:r>
              <w:rPr>
                <w:noProof/>
                <w:webHidden/>
              </w:rPr>
              <w:tab/>
            </w:r>
            <w:r>
              <w:rPr>
                <w:noProof/>
                <w:webHidden/>
              </w:rPr>
              <w:fldChar w:fldCharType="begin"/>
            </w:r>
            <w:r>
              <w:rPr>
                <w:noProof/>
                <w:webHidden/>
              </w:rPr>
              <w:instrText xml:space="preserve"> PAGEREF _Toc184287171 \h </w:instrText>
            </w:r>
            <w:r>
              <w:rPr>
                <w:noProof/>
                <w:webHidden/>
              </w:rPr>
            </w:r>
            <w:r>
              <w:rPr>
                <w:noProof/>
                <w:webHidden/>
              </w:rPr>
              <w:fldChar w:fldCharType="separate"/>
            </w:r>
            <w:r>
              <w:rPr>
                <w:noProof/>
                <w:webHidden/>
              </w:rPr>
              <w:t>78</w:t>
            </w:r>
            <w:r>
              <w:rPr>
                <w:noProof/>
                <w:webHidden/>
              </w:rPr>
              <w:fldChar w:fldCharType="end"/>
            </w:r>
          </w:hyperlink>
        </w:p>
        <w:p w14:paraId="22A34C8A" w14:textId="10016879" w:rsidR="00E92AAE" w:rsidRDefault="00E92AAE">
          <w:pPr>
            <w:pStyle w:val="TOC2"/>
            <w:tabs>
              <w:tab w:val="right" w:leader="dot" w:pos="9016"/>
            </w:tabs>
            <w:rPr>
              <w:rFonts w:asciiTheme="minorHAnsi" w:eastAsiaTheme="minorEastAsia" w:hAnsiTheme="minorHAnsi" w:cstheme="minorBidi"/>
              <w:noProof/>
              <w:lang w:eastAsia="en-AU"/>
            </w:rPr>
          </w:pPr>
          <w:hyperlink w:anchor="_Toc184287172" w:history="1">
            <w:r w:rsidRPr="00DF7D18">
              <w:rPr>
                <w:rStyle w:val="Hyperlink"/>
                <w:noProof/>
                <w:lang w:val="en-GB"/>
              </w:rPr>
              <w:t>Member story: finding new workforce solutions</w:t>
            </w:r>
            <w:r>
              <w:rPr>
                <w:noProof/>
                <w:webHidden/>
              </w:rPr>
              <w:tab/>
            </w:r>
            <w:r>
              <w:rPr>
                <w:noProof/>
                <w:webHidden/>
              </w:rPr>
              <w:fldChar w:fldCharType="begin"/>
            </w:r>
            <w:r>
              <w:rPr>
                <w:noProof/>
                <w:webHidden/>
              </w:rPr>
              <w:instrText xml:space="preserve"> PAGEREF _Toc184287172 \h </w:instrText>
            </w:r>
            <w:r>
              <w:rPr>
                <w:noProof/>
                <w:webHidden/>
              </w:rPr>
            </w:r>
            <w:r>
              <w:rPr>
                <w:noProof/>
                <w:webHidden/>
              </w:rPr>
              <w:fldChar w:fldCharType="separate"/>
            </w:r>
            <w:r>
              <w:rPr>
                <w:noProof/>
                <w:webHidden/>
              </w:rPr>
              <w:t>97</w:t>
            </w:r>
            <w:r>
              <w:rPr>
                <w:noProof/>
                <w:webHidden/>
              </w:rPr>
              <w:fldChar w:fldCharType="end"/>
            </w:r>
          </w:hyperlink>
        </w:p>
        <w:p w14:paraId="6DBC077F" w14:textId="15799BF3" w:rsidR="00E92AAE" w:rsidRDefault="00E92AAE">
          <w:pPr>
            <w:pStyle w:val="TOC2"/>
            <w:tabs>
              <w:tab w:val="right" w:leader="dot" w:pos="9016"/>
            </w:tabs>
            <w:rPr>
              <w:rFonts w:asciiTheme="minorHAnsi" w:eastAsiaTheme="minorEastAsia" w:hAnsiTheme="minorHAnsi" w:cstheme="minorBidi"/>
              <w:noProof/>
              <w:lang w:eastAsia="en-AU"/>
            </w:rPr>
          </w:pPr>
          <w:hyperlink w:anchor="_Toc184287173" w:history="1">
            <w:r w:rsidRPr="00DF7D18">
              <w:rPr>
                <w:rStyle w:val="Hyperlink"/>
                <w:noProof/>
              </w:rPr>
              <w:t>Member story: looking after the team</w:t>
            </w:r>
            <w:r>
              <w:rPr>
                <w:noProof/>
                <w:webHidden/>
              </w:rPr>
              <w:tab/>
            </w:r>
            <w:r>
              <w:rPr>
                <w:noProof/>
                <w:webHidden/>
              </w:rPr>
              <w:fldChar w:fldCharType="begin"/>
            </w:r>
            <w:r>
              <w:rPr>
                <w:noProof/>
                <w:webHidden/>
              </w:rPr>
              <w:instrText xml:space="preserve"> PAGEREF _Toc184287173 \h </w:instrText>
            </w:r>
            <w:r>
              <w:rPr>
                <w:noProof/>
                <w:webHidden/>
              </w:rPr>
            </w:r>
            <w:r>
              <w:rPr>
                <w:noProof/>
                <w:webHidden/>
              </w:rPr>
              <w:fldChar w:fldCharType="separate"/>
            </w:r>
            <w:r>
              <w:rPr>
                <w:noProof/>
                <w:webHidden/>
              </w:rPr>
              <w:t>100</w:t>
            </w:r>
            <w:r>
              <w:rPr>
                <w:noProof/>
                <w:webHidden/>
              </w:rPr>
              <w:fldChar w:fldCharType="end"/>
            </w:r>
          </w:hyperlink>
        </w:p>
        <w:p w14:paraId="61788A45" w14:textId="6E8C77F7" w:rsidR="00E92AAE" w:rsidRDefault="00E92AAE">
          <w:pPr>
            <w:pStyle w:val="TOC2"/>
            <w:tabs>
              <w:tab w:val="right" w:leader="dot" w:pos="9016"/>
            </w:tabs>
            <w:rPr>
              <w:rFonts w:asciiTheme="minorHAnsi" w:eastAsiaTheme="minorEastAsia" w:hAnsiTheme="minorHAnsi" w:cstheme="minorBidi"/>
              <w:noProof/>
              <w:lang w:eastAsia="en-AU"/>
            </w:rPr>
          </w:pPr>
          <w:hyperlink w:anchor="_Toc184287174" w:history="1">
            <w:r w:rsidRPr="00DF7D18">
              <w:rPr>
                <w:rStyle w:val="Hyperlink"/>
                <w:noProof/>
              </w:rPr>
              <w:t>Member story: supported employment</w:t>
            </w:r>
            <w:r>
              <w:rPr>
                <w:noProof/>
                <w:webHidden/>
              </w:rPr>
              <w:tab/>
            </w:r>
            <w:r>
              <w:rPr>
                <w:noProof/>
                <w:webHidden/>
              </w:rPr>
              <w:fldChar w:fldCharType="begin"/>
            </w:r>
            <w:r>
              <w:rPr>
                <w:noProof/>
                <w:webHidden/>
              </w:rPr>
              <w:instrText xml:space="preserve"> PAGEREF _Toc184287174 \h </w:instrText>
            </w:r>
            <w:r>
              <w:rPr>
                <w:noProof/>
                <w:webHidden/>
              </w:rPr>
            </w:r>
            <w:r>
              <w:rPr>
                <w:noProof/>
                <w:webHidden/>
              </w:rPr>
              <w:fldChar w:fldCharType="separate"/>
            </w:r>
            <w:r>
              <w:rPr>
                <w:noProof/>
                <w:webHidden/>
              </w:rPr>
              <w:t>103</w:t>
            </w:r>
            <w:r>
              <w:rPr>
                <w:noProof/>
                <w:webHidden/>
              </w:rPr>
              <w:fldChar w:fldCharType="end"/>
            </w:r>
          </w:hyperlink>
        </w:p>
        <w:p w14:paraId="685D7213" w14:textId="2E97F8B8" w:rsidR="00E92AAE" w:rsidRDefault="00E92AAE">
          <w:pPr>
            <w:pStyle w:val="TOC2"/>
            <w:tabs>
              <w:tab w:val="right" w:leader="dot" w:pos="9016"/>
            </w:tabs>
            <w:rPr>
              <w:rFonts w:asciiTheme="minorHAnsi" w:eastAsiaTheme="minorEastAsia" w:hAnsiTheme="minorHAnsi" w:cstheme="minorBidi"/>
              <w:noProof/>
              <w:lang w:eastAsia="en-AU"/>
            </w:rPr>
          </w:pPr>
          <w:hyperlink w:anchor="_Toc184287175" w:history="1">
            <w:r w:rsidRPr="00DF7D18">
              <w:rPr>
                <w:rStyle w:val="Hyperlink"/>
                <w:noProof/>
              </w:rPr>
              <w:t>The state of disability employment</w:t>
            </w:r>
            <w:r>
              <w:rPr>
                <w:noProof/>
                <w:webHidden/>
              </w:rPr>
              <w:tab/>
            </w:r>
            <w:r>
              <w:rPr>
                <w:noProof/>
                <w:webHidden/>
              </w:rPr>
              <w:fldChar w:fldCharType="begin"/>
            </w:r>
            <w:r>
              <w:rPr>
                <w:noProof/>
                <w:webHidden/>
              </w:rPr>
              <w:instrText xml:space="preserve"> PAGEREF _Toc184287175 \h </w:instrText>
            </w:r>
            <w:r>
              <w:rPr>
                <w:noProof/>
                <w:webHidden/>
              </w:rPr>
            </w:r>
            <w:r>
              <w:rPr>
                <w:noProof/>
                <w:webHidden/>
              </w:rPr>
              <w:fldChar w:fldCharType="separate"/>
            </w:r>
            <w:r>
              <w:rPr>
                <w:noProof/>
                <w:webHidden/>
              </w:rPr>
              <w:t>106</w:t>
            </w:r>
            <w:r>
              <w:rPr>
                <w:noProof/>
                <w:webHidden/>
              </w:rPr>
              <w:fldChar w:fldCharType="end"/>
            </w:r>
          </w:hyperlink>
        </w:p>
        <w:p w14:paraId="63EE2A27" w14:textId="5DBEF43F" w:rsidR="00E92AAE" w:rsidRDefault="00E92AAE">
          <w:pPr>
            <w:pStyle w:val="TOC2"/>
            <w:tabs>
              <w:tab w:val="right" w:leader="dot" w:pos="9016"/>
            </w:tabs>
            <w:rPr>
              <w:rFonts w:asciiTheme="minorHAnsi" w:eastAsiaTheme="minorEastAsia" w:hAnsiTheme="minorHAnsi" w:cstheme="minorBidi"/>
              <w:noProof/>
              <w:lang w:eastAsia="en-AU"/>
            </w:rPr>
          </w:pPr>
          <w:hyperlink w:anchor="_Toc184287176" w:history="1">
            <w:r w:rsidRPr="00DF7D18">
              <w:rPr>
                <w:rStyle w:val="Hyperlink"/>
                <w:noProof/>
              </w:rPr>
              <w:t>References</w:t>
            </w:r>
            <w:r>
              <w:rPr>
                <w:noProof/>
                <w:webHidden/>
              </w:rPr>
              <w:tab/>
            </w:r>
            <w:r>
              <w:rPr>
                <w:noProof/>
                <w:webHidden/>
              </w:rPr>
              <w:fldChar w:fldCharType="begin"/>
            </w:r>
            <w:r>
              <w:rPr>
                <w:noProof/>
                <w:webHidden/>
              </w:rPr>
              <w:instrText xml:space="preserve"> PAGEREF _Toc184287176 \h </w:instrText>
            </w:r>
            <w:r>
              <w:rPr>
                <w:noProof/>
                <w:webHidden/>
              </w:rPr>
            </w:r>
            <w:r>
              <w:rPr>
                <w:noProof/>
                <w:webHidden/>
              </w:rPr>
              <w:fldChar w:fldCharType="separate"/>
            </w:r>
            <w:r>
              <w:rPr>
                <w:noProof/>
                <w:webHidden/>
              </w:rPr>
              <w:t>116</w:t>
            </w:r>
            <w:r>
              <w:rPr>
                <w:noProof/>
                <w:webHidden/>
              </w:rPr>
              <w:fldChar w:fldCharType="end"/>
            </w:r>
          </w:hyperlink>
        </w:p>
        <w:p w14:paraId="43B9669F" w14:textId="489A54D4" w:rsidR="00AB194B" w:rsidRDefault="00AB194B">
          <w:r>
            <w:fldChar w:fldCharType="end"/>
          </w:r>
        </w:p>
      </w:sdtContent>
    </w:sdt>
    <w:p w14:paraId="3C063626" w14:textId="28D86B95" w:rsidR="42BEB5FC" w:rsidRPr="0078010C" w:rsidRDefault="42BEB5FC" w:rsidP="00CD06C0">
      <w:pPr>
        <w:pStyle w:val="Heading2"/>
      </w:pPr>
      <w:bookmarkStart w:id="5" w:name="_Toc184287160"/>
      <w:r w:rsidRPr="0078010C">
        <w:lastRenderedPageBreak/>
        <w:t>The state of play</w:t>
      </w:r>
      <w:bookmarkEnd w:id="4"/>
      <w:bookmarkEnd w:id="3"/>
      <w:bookmarkEnd w:id="5"/>
    </w:p>
    <w:p w14:paraId="1C4E8677" w14:textId="4FD60BD6" w:rsidR="6AD0082D" w:rsidRPr="0097062A" w:rsidRDefault="1FF09E18" w:rsidP="0097062A">
      <w:r w:rsidRPr="0097062A">
        <w:t>Last year, our survey report was delivered when the sector was on the cusp of reform. The Independent Review of the NDIS had just been released and some of the positive steps in the recommendations gave the sector a bump of optimism.</w:t>
      </w:r>
    </w:p>
    <w:p w14:paraId="05B39E49" w14:textId="23ED1E8F" w:rsidR="6AD0082D" w:rsidRDefault="1FF09E18" w:rsidP="0097062A">
      <w:r w:rsidRPr="034FC91D">
        <w:t>Clearly, there was a lot of work to be done</w:t>
      </w:r>
      <w:r w:rsidR="00E36869">
        <w:t>. B</w:t>
      </w:r>
      <w:r w:rsidRPr="034FC91D">
        <w:t>ut for many providers, against the background of last year’s poor financial results, finding the resources to do this work was becoming increasingly difficult.</w:t>
      </w:r>
    </w:p>
    <w:p w14:paraId="327670D4" w14:textId="57D84A1C" w:rsidR="6AD0082D" w:rsidRDefault="1FF09E18" w:rsidP="0097062A">
      <w:r w:rsidRPr="034FC91D">
        <w:t xml:space="preserve">This latest State of the Disability Sector Report shows significant challenges remain. In the 2023–24 financial year, half the respondents made a loss and </w:t>
      </w:r>
      <w:r w:rsidR="0057377C">
        <w:t>13</w:t>
      </w:r>
      <w:r w:rsidRPr="034FC91D">
        <w:t xml:space="preserve"> per cent said they broke even. Eighty per cent of respondents said that they worry they won’t be able to continue providing NDIS services at current prices.</w:t>
      </w:r>
    </w:p>
    <w:p w14:paraId="022FDBF6" w14:textId="081F8974" w:rsidR="6AD0082D" w:rsidRDefault="1FF09E18" w:rsidP="0097062A">
      <w:r w:rsidRPr="034FC91D">
        <w:t>Twenty-one per cent are considering getting out of the disability sector entirely — more than double the response last year.</w:t>
      </w:r>
    </w:p>
    <w:p w14:paraId="7A1B16FF" w14:textId="124A4AEE" w:rsidR="6AD0082D" w:rsidRDefault="1FF09E18" w:rsidP="0097062A">
      <w:r w:rsidRPr="034FC91D">
        <w:t>It’s clear that for many in the sector viability is an issue, and providers are concerned that this will cause widespread disruption to services to people with disability.</w:t>
      </w:r>
    </w:p>
    <w:p w14:paraId="5986E6AE" w14:textId="27F060D3" w:rsidR="6AD0082D" w:rsidRDefault="1FF09E18" w:rsidP="0097062A">
      <w:r w:rsidRPr="034FC91D">
        <w:t>We calculated that the organisations in the survey that are thinking of quitting the sector support more than 28,000 people with disability. If we extend that to the whole sector, more than 100,000 people could be facing disruption to the services and supports that are a core part of their daily lives.</w:t>
      </w:r>
    </w:p>
    <w:p w14:paraId="229C2534" w14:textId="4E256ACD" w:rsidR="6AD0082D" w:rsidRDefault="1FF09E18" w:rsidP="0097062A">
      <w:r w:rsidRPr="034FC91D">
        <w:t>The survey found that not-for-profit organisations and those established before the NDIS are much more likely to report a loss. Many of these organisations were established decades ago by families to create a better life for their children.</w:t>
      </w:r>
    </w:p>
    <w:p w14:paraId="7F4C09D8" w14:textId="60F9FD36" w:rsidR="6AD0082D" w:rsidRDefault="1FF09E18" w:rsidP="0097062A">
      <w:r w:rsidRPr="034FC91D">
        <w:t>But pressures are being experienced across all organisations, not-for-profit and for-profit, those that have been around for fifty years, fifteen or five.</w:t>
      </w:r>
    </w:p>
    <w:p w14:paraId="48281213" w14:textId="5B86355E" w:rsidR="6AD0082D" w:rsidRDefault="1FF09E18" w:rsidP="0097062A">
      <w:r w:rsidRPr="034FC91D">
        <w:t>Supports for people with the most complex support needs are at greatest risk.</w:t>
      </w:r>
    </w:p>
    <w:p w14:paraId="530517F8" w14:textId="77777777" w:rsidR="004316F3" w:rsidRDefault="1FF09E18" w:rsidP="0097062A">
      <w:r w:rsidRPr="034FC91D">
        <w:t>Poor pricing approaches and unfunded supports mean that the NDIS and other government programs are at risk of not realising their potential.</w:t>
      </w:r>
    </w:p>
    <w:p w14:paraId="02DF9D95" w14:textId="2D7A9724" w:rsidR="6AD0082D" w:rsidRDefault="1FF09E18" w:rsidP="0097062A">
      <w:r w:rsidRPr="034FC91D">
        <w:t>This has added to the uncertainty created by the lack of a detailed plan for the reform agenda.</w:t>
      </w:r>
    </w:p>
    <w:p w14:paraId="1BEE96D8" w14:textId="3F6554CB" w:rsidR="6AD0082D" w:rsidRDefault="1FF09E18" w:rsidP="0097062A">
      <w:r w:rsidRPr="28DCED7E">
        <w:lastRenderedPageBreak/>
        <w:t>It’s unreasonable to expect any sector to operate in such an environment, let alone one that provides such essential services.</w:t>
      </w:r>
    </w:p>
    <w:p w14:paraId="3507913A" w14:textId="0D11569A" w:rsidR="6AD0082D" w:rsidRDefault="1FF09E18" w:rsidP="0097062A">
      <w:r w:rsidRPr="28DCED7E">
        <w:t>That most organisations, despite these most challenging of circumstances, remain resilient and are determined to thrive is one of the most positive findings in this report.</w:t>
      </w:r>
    </w:p>
    <w:p w14:paraId="2AE0200A" w14:textId="5ABA161C" w:rsidR="6AD0082D" w:rsidRDefault="1FF09E18" w:rsidP="0097062A">
      <w:r w:rsidRPr="0057377C">
        <w:t xml:space="preserve">Although stretched, almost all providers (96 per cent) say they are working hard to improve productivity; </w:t>
      </w:r>
      <w:r w:rsidR="0026437C">
        <w:t>fifty-one</w:t>
      </w:r>
      <w:r w:rsidR="0057377C" w:rsidRPr="0057377C">
        <w:t xml:space="preserve"> per cent plan to expand their operations. Of these, 89 per cent are working on increasing their client base and 58 per cent are working on increasing their workforce. </w:t>
      </w:r>
      <w:r w:rsidRPr="28DCED7E">
        <w:t>There is a general will to do things smarter and get creative.</w:t>
      </w:r>
    </w:p>
    <w:p w14:paraId="2FDC3457" w14:textId="33D3FBAE" w:rsidR="6AD0082D" w:rsidRDefault="1FF09E18" w:rsidP="0097062A">
      <w:r w:rsidRPr="034FC91D">
        <w:t>But they can’t do that much longer under current conditions, and they can’t do it alone.</w:t>
      </w:r>
    </w:p>
    <w:p w14:paraId="096BDFE4" w14:textId="7F433722" w:rsidR="6AD0082D" w:rsidRDefault="1FF09E18" w:rsidP="0097062A">
      <w:r w:rsidRPr="034FC91D">
        <w:t>Since the federal government controls many of the levers on the market, government must also help shape the conditions providers need to operate effectively — and fast.</w:t>
      </w:r>
    </w:p>
    <w:p w14:paraId="0326A43B" w14:textId="77777777" w:rsidR="004316F3" w:rsidRDefault="1FF09E18" w:rsidP="0097062A">
      <w:r w:rsidRPr="034FC91D">
        <w:t>For their part, states and territories cannot lose any time in putting foundational supports in place that will contribute to overall sustainability of the NDIS.</w:t>
      </w:r>
    </w:p>
    <w:p w14:paraId="604DC1CB" w14:textId="05756169" w:rsidR="6AD0082D" w:rsidRDefault="1FF09E18" w:rsidP="0097062A">
      <w:r w:rsidRPr="034FC91D">
        <w:t>On the following pages, we outline the Way Forward for the sector: what each of us — government, providers and NDS — must do, individually and collaboratively, to create a sector that best serves people with disability.</w:t>
      </w:r>
    </w:p>
    <w:p w14:paraId="4896A5FF" w14:textId="1EFD3A18" w:rsidR="6AD0082D" w:rsidRDefault="1FF09E18" w:rsidP="0097062A">
      <w:r w:rsidRPr="034FC91D">
        <w:t>At NDS, we will keep up our advocacy for a sustainable sector, for policies that recognise that delivering a fair and efficient market for providers is the surest way to deliver the highest quality services.</w:t>
      </w:r>
    </w:p>
    <w:p w14:paraId="037624F7" w14:textId="77777777" w:rsidR="004316F3" w:rsidRDefault="0057377C" w:rsidP="0097062A">
      <w:r w:rsidRPr="0057377C">
        <w:t xml:space="preserve">We successfully advocated for risk-based registration and independent pricing to be included in the NDIS Review recommendations, which was followed up by a budget commitment on pricing reform. More recently, we </w:t>
      </w:r>
      <w:proofErr w:type="spellStart"/>
      <w:r w:rsidR="00296A9F">
        <w:t>suported</w:t>
      </w:r>
      <w:proofErr w:type="spellEnd"/>
      <w:r w:rsidRPr="0057377C">
        <w:t xml:space="preserve"> a combined sector advocacy campaign to achieve the reinstatement of high intensity payments for behavioural supports.</w:t>
      </w:r>
    </w:p>
    <w:p w14:paraId="5CDF90C6" w14:textId="7C772FEA" w:rsidR="6AD0082D" w:rsidRDefault="1FF09E18" w:rsidP="0097062A">
      <w:r w:rsidRPr="034FC91D">
        <w:t xml:space="preserve">But advocacy is not all we’ll do. Over the last 12 months we have focused on learning about what’s working for members and what improvements we still need to </w:t>
      </w:r>
      <w:r w:rsidRPr="034FC91D">
        <w:lastRenderedPageBreak/>
        <w:t>make. We believe that the way forward is to leverage those hard-won experiences and insights and continuously evolve into best-practice support.</w:t>
      </w:r>
    </w:p>
    <w:p w14:paraId="2ACF747A" w14:textId="77777777" w:rsidR="004316F3" w:rsidRDefault="1FF09E18" w:rsidP="0097062A">
      <w:r w:rsidRPr="034FC91D">
        <w:t xml:space="preserve">NDS is proud of our credibility in the sector, and the position we occupy. We are thought leaders and have strong relationships with the decision makers. Our insights and analysis are trusted and best-in-class. Our state and territory presence and influence </w:t>
      </w:r>
      <w:proofErr w:type="gramStart"/>
      <w:r w:rsidRPr="034FC91D">
        <w:t>is</w:t>
      </w:r>
      <w:proofErr w:type="gramEnd"/>
      <w:r w:rsidRPr="034FC91D">
        <w:t xml:space="preserve"> unique and highly valued.</w:t>
      </w:r>
    </w:p>
    <w:p w14:paraId="665A3956" w14:textId="6674D2FF" w:rsidR="6AD0082D" w:rsidRDefault="0057377C" w:rsidP="0097062A">
      <w:r>
        <w:t>We</w:t>
      </w:r>
      <w:r w:rsidR="1FF09E18" w:rsidRPr="034FC91D">
        <w:t xml:space="preserve"> will continue to build on this strong foundation of service to members. We will provide high-quality conferences and events. We will foster collaboration, learning and networking with your peers and stakeholders. We will give you the tailored tools, practical resources and training to meet the evolving needs of your organisation.</w:t>
      </w:r>
    </w:p>
    <w:p w14:paraId="4606A0FD" w14:textId="77777777" w:rsidR="004316F3" w:rsidRDefault="1FF09E18" w:rsidP="0097062A">
      <w:r w:rsidRPr="034FC91D">
        <w:t>The sector is working hard to find a way forward to a more sustainable future and NDS will be right there with you to help make that a reality.</w:t>
      </w:r>
    </w:p>
    <w:p w14:paraId="51283FD5" w14:textId="52DEBD07" w:rsidR="00B021DF" w:rsidRPr="0057377C" w:rsidRDefault="42BEB5FC" w:rsidP="0097062A">
      <w:pPr>
        <w:pStyle w:val="Heading2"/>
      </w:pPr>
      <w:bookmarkStart w:id="6" w:name="_Toc180593624"/>
      <w:bookmarkStart w:id="7" w:name="_Toc181351997"/>
      <w:bookmarkStart w:id="8" w:name="_Toc184287161"/>
      <w:r w:rsidRPr="0057377C">
        <w:lastRenderedPageBreak/>
        <w:t xml:space="preserve">The way </w:t>
      </w:r>
      <w:r w:rsidRPr="00664CF1">
        <w:t>forward</w:t>
      </w:r>
      <w:bookmarkEnd w:id="6"/>
      <w:bookmarkEnd w:id="7"/>
      <w:bookmarkEnd w:id="8"/>
    </w:p>
    <w:p w14:paraId="4E00287F" w14:textId="15BF76E6" w:rsidR="0BA5A9C3" w:rsidRPr="0057377C" w:rsidRDefault="0BA5A9C3" w:rsidP="0097062A">
      <w:pPr>
        <w:pStyle w:val="Heading3"/>
      </w:pPr>
      <w:r w:rsidRPr="0057377C">
        <w:t>We can do this together</w:t>
      </w:r>
    </w:p>
    <w:p w14:paraId="64E630B9" w14:textId="77777777" w:rsidR="004316F3" w:rsidRDefault="0BA5A9C3" w:rsidP="0097062A">
      <w:r w:rsidRPr="28DCED7E">
        <w:t>Governments, providers and NDS share the same aim: an Australia where people with disability receive the highest quality support to lead their best lives.</w:t>
      </w:r>
    </w:p>
    <w:p w14:paraId="79482F56" w14:textId="77777777" w:rsidR="004316F3" w:rsidRDefault="0BA5A9C3" w:rsidP="0097062A">
      <w:r w:rsidRPr="28DCED7E">
        <w:t>NDS believes that, with pooled wisdom, shared solutions and combined effort, we can create a diverse and sustainable market for high-quality disability services.</w:t>
      </w:r>
    </w:p>
    <w:p w14:paraId="3C79453E" w14:textId="6DE80657" w:rsidR="004316F3" w:rsidRDefault="1528A004" w:rsidP="0097062A">
      <w:r w:rsidRPr="28DCED7E">
        <w:t xml:space="preserve">With the right </w:t>
      </w:r>
      <w:r w:rsidR="76E7B126" w:rsidRPr="28DCED7E">
        <w:t xml:space="preserve">funding, policies </w:t>
      </w:r>
      <w:r w:rsidRPr="28DCED7E">
        <w:t xml:space="preserve">and </w:t>
      </w:r>
      <w:r w:rsidR="00211691" w:rsidRPr="28DCED7E">
        <w:t>relationships,</w:t>
      </w:r>
      <w:r w:rsidRPr="28DCED7E">
        <w:t xml:space="preserve"> we can all play a part in finding a way forward.</w:t>
      </w:r>
    </w:p>
    <w:p w14:paraId="787A153E" w14:textId="231A65B6" w:rsidR="00C56E34" w:rsidRPr="00E30C1E" w:rsidRDefault="6170EF2F" w:rsidP="0097062A">
      <w:pPr>
        <w:pStyle w:val="Heading4"/>
      </w:pPr>
      <w:r w:rsidRPr="034FC91D">
        <w:t>What providers are doing</w:t>
      </w:r>
    </w:p>
    <w:p w14:paraId="1D867527" w14:textId="6598209E" w:rsidR="009E158B" w:rsidRPr="009E158B" w:rsidRDefault="009E158B" w:rsidP="0097062A">
      <w:pPr>
        <w:pStyle w:val="ListParagraph"/>
        <w:numPr>
          <w:ilvl w:val="0"/>
          <w:numId w:val="29"/>
        </w:numPr>
      </w:pPr>
      <w:r>
        <w:rPr>
          <w:b/>
          <w:bCs/>
        </w:rPr>
        <w:t>Listening to the people who matter most</w:t>
      </w:r>
      <w:r>
        <w:rPr>
          <w:b/>
          <w:bCs/>
        </w:rPr>
        <w:br/>
      </w:r>
      <w:r w:rsidRPr="009E158B">
        <w:t>Working to improve customer experience, and better meet expectations and preferences.</w:t>
      </w:r>
    </w:p>
    <w:p w14:paraId="6C550DD5" w14:textId="4DD96C86" w:rsidR="00C56E34" w:rsidRPr="00E30C1E" w:rsidRDefault="6170EF2F" w:rsidP="00F42155">
      <w:pPr>
        <w:pStyle w:val="ListParagraph"/>
        <w:numPr>
          <w:ilvl w:val="0"/>
          <w:numId w:val="29"/>
        </w:numPr>
      </w:pPr>
      <w:r w:rsidRPr="00930CA2">
        <w:rPr>
          <w:b/>
          <w:bCs/>
        </w:rPr>
        <w:t>Lifting productivity and efficiency</w:t>
      </w:r>
      <w:r w:rsidR="00930CA2">
        <w:br/>
      </w:r>
      <w:r w:rsidRPr="034FC91D">
        <w:t>Working smarter, not harder, with new technologies, systems and financial controls.</w:t>
      </w:r>
    </w:p>
    <w:p w14:paraId="5BE0BE92" w14:textId="3FED6AC9" w:rsidR="00C56E34" w:rsidRPr="00E30C1E" w:rsidRDefault="6170EF2F" w:rsidP="00470B02">
      <w:pPr>
        <w:pStyle w:val="ListParagraph"/>
        <w:numPr>
          <w:ilvl w:val="0"/>
          <w:numId w:val="28"/>
        </w:numPr>
      </w:pPr>
      <w:r w:rsidRPr="00930CA2">
        <w:rPr>
          <w:b/>
          <w:bCs/>
        </w:rPr>
        <w:t>Taking a strategic approach to growth</w:t>
      </w:r>
      <w:r w:rsidR="00930CA2">
        <w:br/>
      </w:r>
      <w:r w:rsidRPr="034FC91D">
        <w:t>Using research and data to find new paths.</w:t>
      </w:r>
    </w:p>
    <w:p w14:paraId="39F6BB1E" w14:textId="6ED63F29" w:rsidR="00C56E34" w:rsidRPr="00E30C1E" w:rsidRDefault="6170EF2F" w:rsidP="00E0420F">
      <w:pPr>
        <w:pStyle w:val="ListParagraph"/>
        <w:numPr>
          <w:ilvl w:val="0"/>
          <w:numId w:val="27"/>
        </w:numPr>
      </w:pPr>
      <w:r w:rsidRPr="00930CA2">
        <w:rPr>
          <w:b/>
          <w:bCs/>
        </w:rPr>
        <w:t>Training the workforce of tomorrow</w:t>
      </w:r>
      <w:r w:rsidR="00930CA2">
        <w:br/>
      </w:r>
      <w:r w:rsidRPr="034FC91D">
        <w:t>Setting up the supervision and mentorship for great on-the-job training.</w:t>
      </w:r>
    </w:p>
    <w:p w14:paraId="3E802032" w14:textId="70DEA9EB" w:rsidR="00C56E34" w:rsidRPr="00E30C1E" w:rsidRDefault="6170EF2F" w:rsidP="00DA1396">
      <w:pPr>
        <w:pStyle w:val="ListParagraph"/>
        <w:numPr>
          <w:ilvl w:val="0"/>
          <w:numId w:val="26"/>
        </w:numPr>
      </w:pPr>
      <w:r w:rsidRPr="00930CA2">
        <w:rPr>
          <w:b/>
          <w:bCs/>
        </w:rPr>
        <w:t>Investing in strong leadership and skilled staff</w:t>
      </w:r>
      <w:r w:rsidR="00930CA2">
        <w:br/>
      </w:r>
      <w:r w:rsidRPr="034FC91D">
        <w:t>Creating the pathways that reward and encourage quality.</w:t>
      </w:r>
    </w:p>
    <w:p w14:paraId="3938C75F" w14:textId="1E222ED5" w:rsidR="004316F3" w:rsidRDefault="6170EF2F" w:rsidP="00D740C8">
      <w:pPr>
        <w:pStyle w:val="ListParagraph"/>
        <w:numPr>
          <w:ilvl w:val="0"/>
          <w:numId w:val="24"/>
        </w:numPr>
      </w:pPr>
      <w:r w:rsidRPr="00930CA2">
        <w:rPr>
          <w:b/>
          <w:bCs/>
        </w:rPr>
        <w:t>Collaborating with other providers on complex support</w:t>
      </w:r>
      <w:r w:rsidR="00930CA2">
        <w:br/>
      </w:r>
      <w:r w:rsidRPr="28DCED7E">
        <w:t>Working together with participants and partners to find workable solutions.</w:t>
      </w:r>
    </w:p>
    <w:p w14:paraId="6C778014" w14:textId="13623285" w:rsidR="00C56E34" w:rsidRPr="00E30C1E" w:rsidRDefault="7D1C666D" w:rsidP="0097062A">
      <w:pPr>
        <w:pStyle w:val="Heading4"/>
      </w:pPr>
      <w:r w:rsidRPr="034FC91D">
        <w:t>What we need from governments</w:t>
      </w:r>
    </w:p>
    <w:p w14:paraId="7D2C1C99" w14:textId="2C7E5A40" w:rsidR="00C56E34" w:rsidRPr="00E30C1E" w:rsidRDefault="7D1C666D" w:rsidP="00AF5448">
      <w:pPr>
        <w:pStyle w:val="ListParagraph"/>
        <w:numPr>
          <w:ilvl w:val="0"/>
          <w:numId w:val="23"/>
        </w:numPr>
      </w:pPr>
      <w:r w:rsidRPr="00D17A61">
        <w:rPr>
          <w:b/>
          <w:bCs/>
        </w:rPr>
        <w:t>Renewed relationships with stakeholders</w:t>
      </w:r>
      <w:r w:rsidR="00930CA2">
        <w:br/>
      </w:r>
      <w:r w:rsidRPr="034FC91D">
        <w:t>Reforming not just the disability system but all its vital connections.</w:t>
      </w:r>
    </w:p>
    <w:p w14:paraId="0D7C140A" w14:textId="44D100EA" w:rsidR="00C56E34" w:rsidRPr="00E30C1E" w:rsidRDefault="7D1C666D" w:rsidP="00B36CDD">
      <w:pPr>
        <w:pStyle w:val="ListParagraph"/>
        <w:numPr>
          <w:ilvl w:val="0"/>
          <w:numId w:val="22"/>
        </w:numPr>
      </w:pPr>
      <w:r w:rsidRPr="034FC91D">
        <w:t xml:space="preserve"> </w:t>
      </w:r>
      <w:r w:rsidRPr="00D17A61">
        <w:rPr>
          <w:b/>
          <w:bCs/>
        </w:rPr>
        <w:t>Fair and independent pricing</w:t>
      </w:r>
      <w:r w:rsidR="00930CA2">
        <w:br/>
      </w:r>
      <w:r w:rsidRPr="034FC91D">
        <w:t>Creating a disability service market that works.</w:t>
      </w:r>
    </w:p>
    <w:p w14:paraId="323BD79D" w14:textId="0908A2EC" w:rsidR="00C56E34" w:rsidRPr="00E30C1E" w:rsidRDefault="7D1C666D" w:rsidP="001C492D">
      <w:pPr>
        <w:pStyle w:val="ListParagraph"/>
        <w:numPr>
          <w:ilvl w:val="0"/>
          <w:numId w:val="21"/>
        </w:numPr>
      </w:pPr>
      <w:r w:rsidRPr="00D17A61">
        <w:rPr>
          <w:b/>
          <w:bCs/>
        </w:rPr>
        <w:lastRenderedPageBreak/>
        <w:t>A clear direction and action</w:t>
      </w:r>
      <w:r w:rsidR="00930CA2">
        <w:br/>
      </w:r>
      <w:r w:rsidRPr="034FC91D">
        <w:t>Formulating a detailed, sequenced roadmap.</w:t>
      </w:r>
    </w:p>
    <w:p w14:paraId="05AD7984" w14:textId="4ECD9470" w:rsidR="00C56E34" w:rsidRPr="00E30C1E" w:rsidRDefault="7D1C666D" w:rsidP="000C778C">
      <w:pPr>
        <w:pStyle w:val="ListParagraph"/>
        <w:numPr>
          <w:ilvl w:val="0"/>
          <w:numId w:val="20"/>
        </w:numPr>
      </w:pPr>
      <w:r w:rsidRPr="00D17A61">
        <w:rPr>
          <w:b/>
          <w:bCs/>
        </w:rPr>
        <w:t>Support for sector transformation and new ways of working</w:t>
      </w:r>
      <w:r w:rsidR="00930CA2">
        <w:br/>
      </w:r>
      <w:r w:rsidRPr="034FC91D">
        <w:t>Supporting the sector in reform and helping it to be the best it can be.</w:t>
      </w:r>
    </w:p>
    <w:p w14:paraId="4DE8ADBC" w14:textId="3FEF6B72" w:rsidR="00C56E34" w:rsidRPr="00E30C1E" w:rsidRDefault="7D1C666D" w:rsidP="00DE611E">
      <w:pPr>
        <w:pStyle w:val="ListParagraph"/>
        <w:numPr>
          <w:ilvl w:val="0"/>
          <w:numId w:val="19"/>
        </w:numPr>
      </w:pPr>
      <w:r w:rsidRPr="00D17A61">
        <w:rPr>
          <w:b/>
          <w:bCs/>
        </w:rPr>
        <w:t>Bold workforce initiatives</w:t>
      </w:r>
      <w:r w:rsidR="00930CA2">
        <w:br/>
      </w:r>
      <w:r w:rsidRPr="034FC91D">
        <w:t>Finding tomorrow’s skilled workforce and keeping them in the sector.</w:t>
      </w:r>
    </w:p>
    <w:p w14:paraId="3A56BDAC" w14:textId="2D96BA0D" w:rsidR="00C56E34" w:rsidRPr="00E30C1E" w:rsidRDefault="7D1C666D" w:rsidP="00D75517">
      <w:pPr>
        <w:pStyle w:val="ListParagraph"/>
        <w:numPr>
          <w:ilvl w:val="0"/>
          <w:numId w:val="18"/>
        </w:numPr>
      </w:pPr>
      <w:r w:rsidRPr="00D17A61">
        <w:rPr>
          <w:b/>
          <w:bCs/>
        </w:rPr>
        <w:t>Continue with regulatory reform</w:t>
      </w:r>
      <w:r w:rsidR="00930CA2">
        <w:br/>
      </w:r>
      <w:r w:rsidRPr="034FC91D">
        <w:t>Setting high standards that apply to all providers.</w:t>
      </w:r>
    </w:p>
    <w:p w14:paraId="1A360B82" w14:textId="660F1CA8" w:rsidR="00C56E34" w:rsidRPr="00E30C1E" w:rsidRDefault="7D1C666D" w:rsidP="005A7E2F">
      <w:pPr>
        <w:pStyle w:val="ListParagraph"/>
        <w:numPr>
          <w:ilvl w:val="0"/>
          <w:numId w:val="17"/>
        </w:numPr>
      </w:pPr>
      <w:r w:rsidRPr="00D17A61">
        <w:rPr>
          <w:b/>
          <w:bCs/>
        </w:rPr>
        <w:t>Prioritise employment and social procurement</w:t>
      </w:r>
      <w:r w:rsidR="00930CA2">
        <w:br/>
      </w:r>
      <w:r w:rsidRPr="034FC91D">
        <w:t>Using government’s economic strength to support people with disability.</w:t>
      </w:r>
    </w:p>
    <w:p w14:paraId="4B1C06B6" w14:textId="08CF3316" w:rsidR="004316F3" w:rsidRDefault="7D1C666D" w:rsidP="008E1F21">
      <w:pPr>
        <w:pStyle w:val="ListParagraph"/>
        <w:numPr>
          <w:ilvl w:val="0"/>
          <w:numId w:val="16"/>
        </w:numPr>
      </w:pPr>
      <w:r w:rsidRPr="00D17A61">
        <w:rPr>
          <w:b/>
          <w:bCs/>
        </w:rPr>
        <w:t>Consultation with stakeholders at every opportunity</w:t>
      </w:r>
      <w:r w:rsidR="00930CA2">
        <w:br/>
      </w:r>
      <w:r w:rsidRPr="034FC91D">
        <w:t>Drawing on the expertise of the community, including providers.</w:t>
      </w:r>
    </w:p>
    <w:p w14:paraId="117FB9A9" w14:textId="45079F18" w:rsidR="004316F3" w:rsidRDefault="206F5F49" w:rsidP="0097062A">
      <w:r w:rsidRPr="28DCED7E">
        <w:t xml:space="preserve">The sector is </w:t>
      </w:r>
      <w:r w:rsidR="7D1C666D" w:rsidRPr="28DCED7E">
        <w:t>ready and willing to be part of the solution.</w:t>
      </w:r>
    </w:p>
    <w:p w14:paraId="27F710AB" w14:textId="506F41D8" w:rsidR="00C56E34" w:rsidRPr="00E30C1E" w:rsidRDefault="6170EF2F" w:rsidP="0097062A">
      <w:pPr>
        <w:pStyle w:val="Heading4"/>
      </w:pPr>
      <w:r w:rsidRPr="034FC91D">
        <w:t>How NDS plays our part</w:t>
      </w:r>
    </w:p>
    <w:p w14:paraId="77287562" w14:textId="4A4B0BF3" w:rsidR="00C56E34" w:rsidRPr="00E30C1E" w:rsidRDefault="6170EF2F" w:rsidP="00E26B07">
      <w:pPr>
        <w:pStyle w:val="ListParagraph"/>
        <w:numPr>
          <w:ilvl w:val="0"/>
          <w:numId w:val="15"/>
        </w:numPr>
      </w:pPr>
      <w:r w:rsidRPr="00D17A61">
        <w:rPr>
          <w:b/>
          <w:bCs/>
        </w:rPr>
        <w:t>Leading policy and advocacy expertise and engagement</w:t>
      </w:r>
      <w:r w:rsidR="00D17A61">
        <w:br/>
      </w:r>
      <w:r w:rsidRPr="034FC91D">
        <w:t>Listening to our members and amplifying their voices.</w:t>
      </w:r>
    </w:p>
    <w:p w14:paraId="4DC6F5B7" w14:textId="725B19EE" w:rsidR="00C56E34" w:rsidRPr="00E30C1E" w:rsidRDefault="6170EF2F" w:rsidP="0024403F">
      <w:pPr>
        <w:pStyle w:val="ListParagraph"/>
        <w:numPr>
          <w:ilvl w:val="0"/>
          <w:numId w:val="14"/>
        </w:numPr>
      </w:pPr>
      <w:r w:rsidRPr="00D17A61">
        <w:rPr>
          <w:b/>
          <w:bCs/>
        </w:rPr>
        <w:t>Acting as a sector steward</w:t>
      </w:r>
      <w:r w:rsidR="00D17A61">
        <w:br/>
      </w:r>
      <w:r w:rsidRPr="034FC91D">
        <w:t>Shaping the future of disability services and quality practice.</w:t>
      </w:r>
    </w:p>
    <w:p w14:paraId="597A23FA" w14:textId="452F9341" w:rsidR="00C56E34" w:rsidRPr="00E30C1E" w:rsidRDefault="6170EF2F" w:rsidP="008F6EC5">
      <w:pPr>
        <w:pStyle w:val="ListParagraph"/>
        <w:numPr>
          <w:ilvl w:val="0"/>
          <w:numId w:val="13"/>
        </w:numPr>
      </w:pPr>
      <w:r w:rsidRPr="00D17A61">
        <w:rPr>
          <w:b/>
          <w:bCs/>
        </w:rPr>
        <w:t>Providing in-depth information and analysis</w:t>
      </w:r>
      <w:r w:rsidR="00D17A61">
        <w:br/>
      </w:r>
      <w:r w:rsidRPr="034FC91D">
        <w:t>Supporting members with timely and trusted sector insights.</w:t>
      </w:r>
    </w:p>
    <w:p w14:paraId="485BB958" w14:textId="026BC4AB" w:rsidR="00C56E34" w:rsidRPr="00E30C1E" w:rsidRDefault="6170EF2F" w:rsidP="00783634">
      <w:pPr>
        <w:pStyle w:val="ListParagraph"/>
        <w:numPr>
          <w:ilvl w:val="0"/>
          <w:numId w:val="12"/>
        </w:numPr>
      </w:pPr>
      <w:r w:rsidRPr="00D17A61">
        <w:rPr>
          <w:b/>
          <w:bCs/>
        </w:rPr>
        <w:t>Delivering change guidance and business support</w:t>
      </w:r>
      <w:r w:rsidR="00D17A61">
        <w:br/>
      </w:r>
      <w:r w:rsidRPr="034FC91D">
        <w:t>Providing tools, resources and training to support providers to strengthen their organisations.</w:t>
      </w:r>
    </w:p>
    <w:p w14:paraId="7ACF0216" w14:textId="3AA7079E" w:rsidR="00C56E34" w:rsidRPr="00E30C1E" w:rsidRDefault="6170EF2F" w:rsidP="005550BC">
      <w:pPr>
        <w:pStyle w:val="ListParagraph"/>
        <w:numPr>
          <w:ilvl w:val="0"/>
          <w:numId w:val="11"/>
        </w:numPr>
      </w:pPr>
      <w:r w:rsidRPr="00D17A61">
        <w:rPr>
          <w:b/>
          <w:bCs/>
        </w:rPr>
        <w:t>Creating opportunities for networking and collaboration</w:t>
      </w:r>
      <w:r w:rsidR="00D17A61">
        <w:br/>
      </w:r>
      <w:r w:rsidRPr="034FC91D">
        <w:t>Being the hub that connects providers to share experiences, learn and innovate.</w:t>
      </w:r>
    </w:p>
    <w:p w14:paraId="35228F35" w14:textId="50E78517" w:rsidR="00C56E34" w:rsidRPr="00E30C1E" w:rsidRDefault="6170EF2F" w:rsidP="00312F79">
      <w:pPr>
        <w:pStyle w:val="ListParagraph"/>
        <w:numPr>
          <w:ilvl w:val="0"/>
          <w:numId w:val="10"/>
        </w:numPr>
      </w:pPr>
      <w:r w:rsidRPr="00D17A61">
        <w:rPr>
          <w:b/>
          <w:bCs/>
        </w:rPr>
        <w:t>Providing local expertise and influence</w:t>
      </w:r>
      <w:r w:rsidR="00D17A61">
        <w:br/>
      </w:r>
      <w:r w:rsidRPr="034FC91D">
        <w:t xml:space="preserve">Harnessing our strong presence in every state and territory through deep </w:t>
      </w:r>
      <w:r w:rsidR="02B29DE3" w:rsidRPr="034FC91D">
        <w:t>u</w:t>
      </w:r>
      <w:r w:rsidRPr="034FC91D">
        <w:t>nderstanding of the local context.</w:t>
      </w:r>
    </w:p>
    <w:p w14:paraId="60540FB9" w14:textId="3FD11089" w:rsidR="004316F3" w:rsidRDefault="6170EF2F" w:rsidP="00FF05AC">
      <w:pPr>
        <w:pStyle w:val="ListParagraph"/>
        <w:numPr>
          <w:ilvl w:val="0"/>
          <w:numId w:val="9"/>
        </w:numPr>
      </w:pPr>
      <w:r w:rsidRPr="00D17A61">
        <w:rPr>
          <w:b/>
          <w:bCs/>
        </w:rPr>
        <w:t>Building community inclusion and support</w:t>
      </w:r>
      <w:r w:rsidR="00D17A61">
        <w:br/>
      </w:r>
      <w:r w:rsidRPr="28DCED7E">
        <w:t>Driving the inclusive future that Australians with disability deserve.</w:t>
      </w:r>
    </w:p>
    <w:p w14:paraId="2A0CAF51" w14:textId="5B30204D" w:rsidR="00B021DF" w:rsidRDefault="1A874E03" w:rsidP="0097062A">
      <w:pPr>
        <w:pStyle w:val="Heading2"/>
      </w:pPr>
      <w:bookmarkStart w:id="9" w:name="_Toc180593625"/>
      <w:bookmarkStart w:id="10" w:name="_Toc181351998"/>
      <w:bookmarkStart w:id="11" w:name="_Toc184287162"/>
      <w:r>
        <w:lastRenderedPageBreak/>
        <w:t>The state of disability reform</w:t>
      </w:r>
      <w:bookmarkEnd w:id="9"/>
      <w:bookmarkEnd w:id="10"/>
      <w:bookmarkEnd w:id="11"/>
    </w:p>
    <w:p w14:paraId="1E44F2FD" w14:textId="77777777" w:rsidR="009E158B" w:rsidRPr="0078010C" w:rsidRDefault="009E158B" w:rsidP="0097062A">
      <w:pPr>
        <w:pStyle w:val="Heading3"/>
      </w:pPr>
      <w:r w:rsidRPr="0078010C">
        <w:t>The Disability Royal Commission</w:t>
      </w:r>
    </w:p>
    <w:p w14:paraId="621E3392" w14:textId="77777777" w:rsidR="004316F3" w:rsidRDefault="009E158B" w:rsidP="0097062A">
      <w:r>
        <w:t>In July 2024, the Australian Government, along with all states and territories, formally responded to the Royal Commission into Violence, Abuse, Neglect and Exploitation of People with Disability (Disability Royal Commission). While the government response was much anticipated, only 13 out of the 222 proposed actions were accepted in full, leaving many parts of the disability community wanting more.</w:t>
      </w:r>
    </w:p>
    <w:p w14:paraId="38735452" w14:textId="614D00A2" w:rsidR="009E158B" w:rsidRPr="00A831DE" w:rsidRDefault="009E158B" w:rsidP="0097062A">
      <w:r w:rsidRPr="00A831DE">
        <w:t>The powerful contributions made by so many individuals throughout the inquiry, especially people with disability and their representative organisations, must</w:t>
      </w:r>
      <w:r>
        <w:t xml:space="preserve"> continue to</w:t>
      </w:r>
      <w:r w:rsidRPr="00A831DE">
        <w:t xml:space="preserve"> be acknowledged. The instances of abuse, violence, exploitation and neglect that were unveiled are unacceptable and highlight the</w:t>
      </w:r>
      <w:r>
        <w:t xml:space="preserve"> ongoing</w:t>
      </w:r>
      <w:r w:rsidRPr="00A831DE">
        <w:t xml:space="preserve"> urgent need for systemic change.</w:t>
      </w:r>
    </w:p>
    <w:p w14:paraId="3B769007" w14:textId="77777777" w:rsidR="009E158B" w:rsidRPr="00B021DF" w:rsidRDefault="009E158B" w:rsidP="0097062A">
      <w:pPr>
        <w:rPr>
          <w:rFonts w:ascii="Helvetica" w:hAnsi="Helvetica" w:cs="Helvetica"/>
          <w:color w:val="4C5357"/>
        </w:rPr>
      </w:pPr>
      <w:r w:rsidRPr="7AADF08B">
        <w:t xml:space="preserve">In its response, </w:t>
      </w:r>
      <w:r>
        <w:t xml:space="preserve">the federal </w:t>
      </w:r>
      <w:r w:rsidRPr="00185291">
        <w:t>government accepted the intent of</w:t>
      </w:r>
      <w:r w:rsidRPr="7AADF08B">
        <w:t xml:space="preserve"> </w:t>
      </w:r>
      <w:proofErr w:type="gramStart"/>
      <w:r w:rsidRPr="7AADF08B">
        <w:t>the majority of</w:t>
      </w:r>
      <w:proofErr w:type="gramEnd"/>
      <w:r w:rsidRPr="00185291" w:rsidDel="00654BC4">
        <w:t xml:space="preserve"> </w:t>
      </w:r>
      <w:r w:rsidRPr="00185291">
        <w:t>recommendations</w:t>
      </w:r>
      <w:r>
        <w:t xml:space="preserve">, </w:t>
      </w:r>
      <w:r w:rsidRPr="7AADF08B">
        <w:t>a positive sign that it agrees things need to change.</w:t>
      </w:r>
      <w:r w:rsidRPr="7AADF08B" w:rsidDel="00654BC4">
        <w:t xml:space="preserve"> </w:t>
      </w:r>
      <w:r w:rsidRPr="7AADF08B">
        <w:t xml:space="preserve">However, </w:t>
      </w:r>
      <w:r w:rsidRPr="744620E5">
        <w:t xml:space="preserve">there is </w:t>
      </w:r>
      <w:r w:rsidRPr="05AAC058">
        <w:t>still much</w:t>
      </w:r>
      <w:r w:rsidRPr="0DD902B6">
        <w:t xml:space="preserve"> work </w:t>
      </w:r>
      <w:r w:rsidRPr="2EB899B9">
        <w:t xml:space="preserve">ahead </w:t>
      </w:r>
      <w:r w:rsidRPr="7AADF08B">
        <w:t xml:space="preserve">to translate these good intentions into a series of actionable steps that effectively implement the Disability Royal Commission recommendations </w:t>
      </w:r>
      <w:r w:rsidRPr="31E36D5B">
        <w:t>and ensure that the voices of people with disability are heard and acted upon.</w:t>
      </w:r>
    </w:p>
    <w:p w14:paraId="03FE214C" w14:textId="77777777" w:rsidR="004316F3" w:rsidRDefault="009E158B" w:rsidP="0097062A">
      <w:pPr>
        <w:pStyle w:val="Heading3"/>
      </w:pPr>
      <w:r w:rsidRPr="0078010C">
        <w:t>The NDIS Review</w:t>
      </w:r>
    </w:p>
    <w:p w14:paraId="67083730" w14:textId="77777777" w:rsidR="004316F3" w:rsidRDefault="009E158B" w:rsidP="0097062A">
      <w:r>
        <w:t>Much of the NDIS reform agenda over the past 12 months has been driven by the recommendations and findings of the Independent Review of the NDIS. Making 26 recommendations and outlining 139 actions, underpinned by almost 1,300 pages of supporting analysis, the NDIS Review went to the heart of long-standing and well-known issues affecting the NDIS. Key recommendations included clarifying distinct and tailored pathways for young children and families and people with psychosocial disability; establishing an ecosystem of supports where the NDIS is one option — as opposed to the only option — for people with disability; and reforming the way that the NDIS operates.</w:t>
      </w:r>
    </w:p>
    <w:p w14:paraId="6BB63074" w14:textId="77777777" w:rsidR="004316F3" w:rsidRDefault="009E158B" w:rsidP="0097062A">
      <w:r>
        <w:lastRenderedPageBreak/>
        <w:t>The Review noted that almost all critical steps in a participant’s journey through the NDIS required reform — from access, budget setting, planning, engaging supports and finding providers through to how these supports are paid for. Calling out issues with homes and living, workforce, quality and safeguarding, sustainability and market stewardship, we were pleased that many of the solutions proposed by the NDIS Review aligned with the ten priorities for reform that we outlined last year in our State of the Disability Sector report.</w:t>
      </w:r>
    </w:p>
    <w:p w14:paraId="429197BA" w14:textId="413A114B" w:rsidR="009E158B" w:rsidRPr="0057377C" w:rsidRDefault="009E158B" w:rsidP="0097062A">
      <w:pPr>
        <w:pStyle w:val="Heading3"/>
      </w:pPr>
      <w:r w:rsidRPr="0057377C">
        <w:t>The NDIS Amendment Act</w:t>
      </w:r>
    </w:p>
    <w:p w14:paraId="568DE0CB" w14:textId="77777777" w:rsidR="004316F3" w:rsidRDefault="009E158B" w:rsidP="0097062A">
      <w:r>
        <w:t>In August, federal government passed the National Disability Insurance Scheme Amendment (Getting the NDIS Back on Track No. 1) Act 2024, the first major piece of legislation to implement the NDIS Review recommendations. The subject of debate and amendment, the Act sets the stage for significant changes to the way in which the NDIS operates.</w:t>
      </w:r>
    </w:p>
    <w:p w14:paraId="3AAA53FC" w14:textId="77777777" w:rsidR="004316F3" w:rsidRDefault="009E158B" w:rsidP="0097062A">
      <w:r>
        <w:t>These include:</w:t>
      </w:r>
    </w:p>
    <w:p w14:paraId="239245AE" w14:textId="1BF5AAE8" w:rsidR="009E158B" w:rsidRDefault="009E158B" w:rsidP="0097062A">
      <w:pPr>
        <w:pStyle w:val="ListParagraph"/>
        <w:numPr>
          <w:ilvl w:val="0"/>
          <w:numId w:val="58"/>
        </w:numPr>
      </w:pPr>
      <w:r w:rsidRPr="3E18B46D">
        <w:t>temporary lists of supports funded by the NDIS</w:t>
      </w:r>
    </w:p>
    <w:p w14:paraId="3822E5ED" w14:textId="77777777" w:rsidR="004316F3" w:rsidRDefault="009E158B" w:rsidP="0097062A">
      <w:pPr>
        <w:pStyle w:val="ListParagraph"/>
        <w:numPr>
          <w:ilvl w:val="0"/>
          <w:numId w:val="58"/>
        </w:numPr>
      </w:pPr>
      <w:r w:rsidRPr="7AADF08B" w:rsidDel="00D67556">
        <w:t>n</w:t>
      </w:r>
      <w:r w:rsidRPr="005D7A28">
        <w:t>ew ways for people to access the NDIS with a focus on early intervention pathways</w:t>
      </w:r>
    </w:p>
    <w:p w14:paraId="5BB0F73A" w14:textId="77777777" w:rsidR="004316F3" w:rsidRDefault="009E158B" w:rsidP="0097062A">
      <w:pPr>
        <w:pStyle w:val="ListParagraph"/>
        <w:numPr>
          <w:ilvl w:val="0"/>
          <w:numId w:val="58"/>
        </w:numPr>
      </w:pPr>
      <w:r w:rsidRPr="7AADF08B">
        <w:t xml:space="preserve">a whole-of-person approach to setting budgets that </w:t>
      </w:r>
      <w:r w:rsidRPr="004B27BE">
        <w:t>enables participants to have more flexibility over their budget</w:t>
      </w:r>
      <w:r w:rsidRPr="7AADF08B">
        <w:t>.</w:t>
      </w:r>
    </w:p>
    <w:p w14:paraId="2E0D1BD2" w14:textId="2DDB935C" w:rsidR="009E158B" w:rsidRDefault="009E158B" w:rsidP="0097062A">
      <w:r>
        <w:t>This flexibility comes with increased expectations that participants (and providers) will not exceed this budget. Key to achieving this, of course, is also making sure participant plans are appropriate in the first place.</w:t>
      </w:r>
    </w:p>
    <w:p w14:paraId="15890241" w14:textId="77777777" w:rsidR="004316F3" w:rsidRDefault="009E158B" w:rsidP="0097062A">
      <w:r>
        <w:t>Most changes from the Act will be implemented through new NDIS Rules or legislative instruments. Most of these amendments require agreement by states and territories or consultation with key stakeholders before they can take effect.</w:t>
      </w:r>
    </w:p>
    <w:p w14:paraId="5548F4AC" w14:textId="77777777" w:rsidR="004316F3" w:rsidRDefault="009E158B" w:rsidP="0097062A">
      <w:pPr>
        <w:pStyle w:val="Heading3"/>
      </w:pPr>
      <w:r w:rsidRPr="0057377C">
        <w:t>Foundational supports</w:t>
      </w:r>
    </w:p>
    <w:p w14:paraId="12ABD18F" w14:textId="77777777" w:rsidR="004316F3" w:rsidRDefault="009E158B" w:rsidP="0097062A">
      <w:r>
        <w:t xml:space="preserve">The NDIS Review emphasised the urgent need to overhaul how states, territories and the Commonwealth collaboratively fund and provide supports for people with disability, particularly those outside the NDIS. Called foundational supports, these </w:t>
      </w:r>
      <w:r>
        <w:lastRenderedPageBreak/>
        <w:t>will build on mainstream or universal supports and will include general supports (available to anyone with a disability) and targeted supports for specific groups of people who need additional support outside the NDIS.</w:t>
      </w:r>
    </w:p>
    <w:p w14:paraId="7B2C9FC8" w14:textId="77777777" w:rsidR="004316F3" w:rsidRDefault="009E158B" w:rsidP="0097062A">
      <w:r>
        <w:t>The Review also recommended that a navigation function be established to support people accessing and moving between mainstream, foundational and individualised NDIS supports.</w:t>
      </w:r>
    </w:p>
    <w:p w14:paraId="20201A09" w14:textId="77777777" w:rsidR="004316F3" w:rsidRDefault="009E158B" w:rsidP="0097062A">
      <w:r>
        <w:t xml:space="preserve">While National Cabinet agreed to jointly fund foundational supports in 2023, </w:t>
      </w:r>
      <w:r w:rsidR="00E36869">
        <w:t>we need</w:t>
      </w:r>
      <w:r>
        <w:t xml:space="preserve"> more detail on this crucial redesign of the system. We are still waiting for a Foundational Supports Statement of Intent and the Foundational Supports Strategy, which the NDIS Review recommended as initial steps.</w:t>
      </w:r>
    </w:p>
    <w:p w14:paraId="1988E6E3" w14:textId="79FAA886" w:rsidR="009E158B" w:rsidRPr="00E53EBE" w:rsidRDefault="009E158B" w:rsidP="0097062A">
      <w:r w:rsidRPr="00FB0FBE">
        <w:t xml:space="preserve">With foundational supports slated for commissioning mid-2025 and a full rollout expected by mid-2027, this development is one to closely monitor. </w:t>
      </w:r>
      <w:r w:rsidRPr="1AAA20B8">
        <w:t>NDS</w:t>
      </w:r>
      <w:r w:rsidRPr="2C4884B3">
        <w:t xml:space="preserve"> s</w:t>
      </w:r>
      <w:r w:rsidRPr="00FB0FBE">
        <w:t xml:space="preserve">tate and territory managers have reported varying </w:t>
      </w:r>
      <w:r w:rsidRPr="2C4884B3">
        <w:t xml:space="preserve">levels of preparedness </w:t>
      </w:r>
      <w:r w:rsidRPr="00FB0FBE">
        <w:t>across jurisdictions.</w:t>
      </w:r>
    </w:p>
    <w:p w14:paraId="0D3E4C71" w14:textId="77777777" w:rsidR="009E158B" w:rsidRDefault="009E158B" w:rsidP="0097062A">
      <w:pPr>
        <w:pStyle w:val="Heading3"/>
      </w:pPr>
      <w:r w:rsidRPr="6AD0082D">
        <w:t xml:space="preserve">Australia’s Disability </w:t>
      </w:r>
      <w:r>
        <w:t>Strategy</w:t>
      </w:r>
    </w:p>
    <w:p w14:paraId="2A073F34" w14:textId="73126A2F" w:rsidR="009E158B" w:rsidRPr="001F171B" w:rsidRDefault="009E158B" w:rsidP="0097062A">
      <w:r>
        <w:t>I</w:t>
      </w:r>
      <w:r w:rsidRPr="2C7BACA7">
        <w:t xml:space="preserve">t is easy to overlook Australia’s Disability Strategy </w:t>
      </w:r>
      <w:r>
        <w:t>2021–2031 (ADS),</w:t>
      </w:r>
      <w:r w:rsidRPr="2C7BACA7">
        <w:t xml:space="preserve"> which serves as the cornerstone of national disability policy. Due for a major independent review in 2025, the ADS outlines priorities for all levels of government to drive meaningful change, ensuring the rights, inclusion and participation of people with disability </w:t>
      </w:r>
      <w:r>
        <w:t>in</w:t>
      </w:r>
      <w:r w:rsidRPr="2C7BACA7">
        <w:t xml:space="preserve"> all </w:t>
      </w:r>
      <w:r>
        <w:t>aspects</w:t>
      </w:r>
      <w:r w:rsidRPr="2C7BACA7">
        <w:t xml:space="preserve"> of Australian life.</w:t>
      </w:r>
    </w:p>
    <w:p w14:paraId="7310888B" w14:textId="77777777" w:rsidR="009E158B" w:rsidRPr="001F171B" w:rsidRDefault="009E158B" w:rsidP="0097062A">
      <w:r>
        <w:t>Both the Disability Royal Commission and the NDIS Review have proposed enhancements to the ADS. In response, the Department of Social Services conducted a review of the ADS in September 2024, with plans to update the Strategy by December 2024. It is crucial that the updated ADS aligns with the coming intergovernmental agreements for foundational supports and integrates priorities and accountability mechanisms seamlessly.</w:t>
      </w:r>
    </w:p>
    <w:p w14:paraId="5C8B3C58" w14:textId="77777777" w:rsidR="004316F3" w:rsidRDefault="009E158B" w:rsidP="0097062A">
      <w:pPr>
        <w:pStyle w:val="Heading3"/>
      </w:pPr>
      <w:r w:rsidRPr="0057377C">
        <w:t>Provider and Worker Registration Taskforce</w:t>
      </w:r>
    </w:p>
    <w:p w14:paraId="0AD72964" w14:textId="77777777" w:rsidR="004316F3" w:rsidRDefault="009E158B" w:rsidP="0097062A">
      <w:proofErr w:type="gramStart"/>
      <w:r>
        <w:t>In an effort to</w:t>
      </w:r>
      <w:proofErr w:type="gramEnd"/>
      <w:r>
        <w:t xml:space="preserve"> tackle one of the thorniest but most crucial issues highlighted in the NDIS Review, Minister Shorten established the NDIS Provider and Worker Registration Taskforce to provide advice to government on the implementation of </w:t>
      </w:r>
      <w:r>
        <w:lastRenderedPageBreak/>
        <w:t>proposed market regulation changes. Since this is a longstanding issue for NDS and our members, we engaged deeply with the Taskforce.</w:t>
      </w:r>
    </w:p>
    <w:p w14:paraId="470FC324" w14:textId="6496DE33" w:rsidR="009E158B" w:rsidRPr="00F00430" w:rsidRDefault="009E158B" w:rsidP="0097062A">
      <w:r>
        <w:t>We have consistently argued that the standards for entry into the sector are alarmingly low. As one member pointed out, it takes more regulation to serve a beer than to provide personal support in someone's home — a situation we find unacceptable.</w:t>
      </w:r>
    </w:p>
    <w:p w14:paraId="0329375B" w14:textId="77777777" w:rsidR="004316F3" w:rsidRDefault="009E158B" w:rsidP="0097062A">
      <w:r>
        <w:t>We are yet to see the full government response to the Taskforce’s advice for a proportionate registration model and how recommendations</w:t>
      </w:r>
      <w:r w:rsidR="00E36869">
        <w:t>,</w:t>
      </w:r>
      <w:r>
        <w:t xml:space="preserve"> such as the regulation of providers and workers directly engaged by participants and the proposed worker registration scheme</w:t>
      </w:r>
      <w:r w:rsidR="00E36869">
        <w:t>,</w:t>
      </w:r>
      <w:r>
        <w:t xml:space="preserve"> will be operationalised.</w:t>
      </w:r>
    </w:p>
    <w:p w14:paraId="50732F2A" w14:textId="77777777" w:rsidR="004316F3" w:rsidRDefault="1A874E03" w:rsidP="0097062A">
      <w:pPr>
        <w:pStyle w:val="Heading3"/>
      </w:pPr>
      <w:r>
        <w:t>NDIS pricing</w:t>
      </w:r>
    </w:p>
    <w:p w14:paraId="0F18B813" w14:textId="77777777" w:rsidR="004316F3" w:rsidRDefault="1A874E03" w:rsidP="0097062A">
      <w:r w:rsidRPr="008F0D1E">
        <w:t>The</w:t>
      </w:r>
      <w:r w:rsidRPr="5ADFFC70">
        <w:t xml:space="preserve"> </w:t>
      </w:r>
      <w:r w:rsidR="34188BFF" w:rsidRPr="5ADFFC70">
        <w:t>2024</w:t>
      </w:r>
      <w:r w:rsidR="00180443">
        <w:t>–</w:t>
      </w:r>
      <w:r w:rsidR="34188BFF" w:rsidRPr="5ADFFC70">
        <w:t>25</w:t>
      </w:r>
      <w:r w:rsidR="00180443">
        <w:t xml:space="preserve"> </w:t>
      </w:r>
      <w:r w:rsidR="34188BFF" w:rsidRPr="5ADFFC70">
        <w:t>NDIS Pricing Arrangements and Price Limits</w:t>
      </w:r>
      <w:r w:rsidR="01BF89F3" w:rsidRPr="5ADFFC70">
        <w:t xml:space="preserve"> (2024)</w:t>
      </w:r>
      <w:r w:rsidR="34188BFF" w:rsidRPr="5ADFFC70">
        <w:t xml:space="preserve"> </w:t>
      </w:r>
      <w:r w:rsidRPr="008F0D1E">
        <w:t>dealt a significant blow to a sector already grappling with viability issues. The modest 3.19 per</w:t>
      </w:r>
      <w:r w:rsidRPr="5ADFFC70">
        <w:t xml:space="preserve"> </w:t>
      </w:r>
      <w:r w:rsidRPr="008F0D1E">
        <w:t xml:space="preserve">cent increase for most core supports barely covered the annual wage rise </w:t>
      </w:r>
      <w:r w:rsidR="00E36869">
        <w:t>from</w:t>
      </w:r>
      <w:r w:rsidRPr="008F0D1E">
        <w:t xml:space="preserve"> the Fair Work Commission. Even more troubling, support coordination, plan management, and allied health services</w:t>
      </w:r>
      <w:r w:rsidRPr="5ADFFC70">
        <w:t xml:space="preserve"> </w:t>
      </w:r>
      <w:r w:rsidR="00DE38A1">
        <w:t xml:space="preserve">(except for a small increase for psychology) </w:t>
      </w:r>
      <w:r w:rsidRPr="008F0D1E">
        <w:t>saw no price adjustments for the fifth consecutive year despite rising operational costs.</w:t>
      </w:r>
    </w:p>
    <w:p w14:paraId="218D261E" w14:textId="77777777" w:rsidR="004316F3" w:rsidRDefault="1A874E03" w:rsidP="0097062A">
      <w:r>
        <w:t xml:space="preserve">And, in a move that perplexed participants and providers, the definition of high intensity support was changed, meaning participants requiring behaviour support would no longer receive this support in their plans. </w:t>
      </w:r>
      <w:r w:rsidR="00496B47">
        <w:t xml:space="preserve">It was only through strong </w:t>
      </w:r>
      <w:r>
        <w:t xml:space="preserve">advocacy from NDS and </w:t>
      </w:r>
      <w:r w:rsidR="00211691">
        <w:t>others</w:t>
      </w:r>
      <w:r>
        <w:t xml:space="preserve"> </w:t>
      </w:r>
      <w:r w:rsidR="00496B47">
        <w:t xml:space="preserve">that </w:t>
      </w:r>
      <w:r>
        <w:t xml:space="preserve">common sense </w:t>
      </w:r>
      <w:r w:rsidR="00AD077F">
        <w:t>prevailed,</w:t>
      </w:r>
      <w:r>
        <w:t xml:space="preserve"> and this decision was </w:t>
      </w:r>
      <w:r w:rsidR="00C54276">
        <w:t xml:space="preserve">eventually </w:t>
      </w:r>
      <w:r>
        <w:t>reversed.</w:t>
      </w:r>
    </w:p>
    <w:p w14:paraId="68954748" w14:textId="77777777" w:rsidR="004316F3" w:rsidRDefault="1A874E03" w:rsidP="0097062A">
      <w:r>
        <w:t xml:space="preserve">This year’s pricing adjustments seemed to reflect </w:t>
      </w:r>
      <w:r w:rsidR="00211691">
        <w:t>misunderstanding</w:t>
      </w:r>
      <w:r>
        <w:t xml:space="preserve"> </w:t>
      </w:r>
      <w:r w:rsidR="007656C7">
        <w:t>of</w:t>
      </w:r>
      <w:r>
        <w:t xml:space="preserve"> the real costs of delivering safe, quality services. It is time for a fresh approach to pricing, one that recognises the need to support </w:t>
      </w:r>
      <w:r w:rsidR="00E36869">
        <w:t xml:space="preserve">quality </w:t>
      </w:r>
      <w:r>
        <w:t>providers committed to continuous improvement, fair wages and robust staff development.</w:t>
      </w:r>
    </w:p>
    <w:p w14:paraId="0A2173F6" w14:textId="3EFC1A99" w:rsidR="00B021DF" w:rsidRPr="008F0D1E" w:rsidRDefault="00B021DF" w:rsidP="0097062A">
      <w:r w:rsidRPr="008F0D1E">
        <w:t>We were encouraged to see the government take initial steps towards a more transparent and accountable pricing system by funding the Independent Health and Aged Care Pricing Authority (IHACPA) to explore future reforms. This included</w:t>
      </w:r>
      <w:r w:rsidRPr="48E9F594">
        <w:t xml:space="preserve"> </w:t>
      </w:r>
      <w:r w:rsidRPr="48E9F594">
        <w:lastRenderedPageBreak/>
        <w:t>reviewing current pricing models and developing a comprehensive pricing data strategy.</w:t>
      </w:r>
    </w:p>
    <w:p w14:paraId="406A5EE3" w14:textId="6FAE106C" w:rsidR="00B021DF" w:rsidRPr="008F0D1E" w:rsidRDefault="003D1CCA" w:rsidP="0097062A">
      <w:r>
        <w:t>I</w:t>
      </w:r>
      <w:r w:rsidR="00B021DF">
        <w:t>ndependent pricing is</w:t>
      </w:r>
      <w:r>
        <w:t xml:space="preserve"> not</w:t>
      </w:r>
      <w:r w:rsidR="00B021DF">
        <w:t xml:space="preserve"> a </w:t>
      </w:r>
      <w:r w:rsidR="00B021DF" w:rsidRPr="02EED310">
        <w:t>silver</w:t>
      </w:r>
      <w:r w:rsidR="00B021DF">
        <w:t xml:space="preserve"> bullet for sector sustainability, but </w:t>
      </w:r>
      <w:r w:rsidR="00B021DF" w:rsidRPr="008F0D1E">
        <w:t>it represents a crucial and positive step forward that we can all support.</w:t>
      </w:r>
    </w:p>
    <w:p w14:paraId="42D9E472" w14:textId="77777777" w:rsidR="004316F3" w:rsidRDefault="1A874E03" w:rsidP="0097062A">
      <w:pPr>
        <w:pStyle w:val="Heading3"/>
      </w:pPr>
      <w:r>
        <w:t>PACE</w:t>
      </w:r>
    </w:p>
    <w:p w14:paraId="59FE4722" w14:textId="77777777" w:rsidR="004316F3" w:rsidRDefault="00B021DF" w:rsidP="0097062A">
      <w:r>
        <w:t>With a suite of digital transformations recommended through the</w:t>
      </w:r>
      <w:r w:rsidR="00B93A84">
        <w:t xml:space="preserve"> Independent Review of the</w:t>
      </w:r>
      <w:r>
        <w:t xml:space="preserve"> NDIS, providers were hoping that plenty of lessons would be learned from the implementation of the new computer system for the NDIS. PACE began its national rollout in October 2023</w:t>
      </w:r>
      <w:r w:rsidR="00464410">
        <w:t xml:space="preserve">. </w:t>
      </w:r>
      <w:r w:rsidR="002955D2">
        <w:t xml:space="preserve">The intent of the system was to </w:t>
      </w:r>
      <w:r>
        <w:t xml:space="preserve">improve NDIA service standards through a system design that prioritised participant autonomy. Providers were asked to adapt to this new way of doing business without receiving the </w:t>
      </w:r>
      <w:r w:rsidR="009F436E">
        <w:t>proper</w:t>
      </w:r>
      <w:r>
        <w:t xml:space="preserve"> training, support or implementation funding that NDS advocated for at roll out.</w:t>
      </w:r>
    </w:p>
    <w:p w14:paraId="69EF25E0" w14:textId="3C1DB039" w:rsidR="00B021DF" w:rsidRDefault="00B021DF" w:rsidP="0097062A">
      <w:r>
        <w:t xml:space="preserve">Instead, providers </w:t>
      </w:r>
      <w:r w:rsidR="009070C3">
        <w:t xml:space="preserve">reported </w:t>
      </w:r>
      <w:r>
        <w:t xml:space="preserve">payment delays, </w:t>
      </w:r>
      <w:r w:rsidR="00BA47EB">
        <w:t xml:space="preserve">faced the </w:t>
      </w:r>
      <w:r>
        <w:t>risk of delivering unfunded services, and</w:t>
      </w:r>
      <w:r w:rsidR="00526D66">
        <w:t xml:space="preserve"> absorbed</w:t>
      </w:r>
      <w:r>
        <w:t xml:space="preserve"> </w:t>
      </w:r>
      <w:r w:rsidR="00D87191">
        <w:t xml:space="preserve">the cost of </w:t>
      </w:r>
      <w:r>
        <w:t xml:space="preserve">troubleshooting participant concerns. Administrative burden again </w:t>
      </w:r>
      <w:r w:rsidR="000F24A3">
        <w:t>hampered</w:t>
      </w:r>
      <w:r>
        <w:t xml:space="preserve"> providers </w:t>
      </w:r>
      <w:r w:rsidR="008243DB">
        <w:t>in</w:t>
      </w:r>
      <w:r>
        <w:t xml:space="preserve"> </w:t>
      </w:r>
      <w:r w:rsidR="008243DB">
        <w:t>delivering</w:t>
      </w:r>
      <w:r>
        <w:t xml:space="preserve"> quality disability services.</w:t>
      </w:r>
    </w:p>
    <w:p w14:paraId="168D02BB" w14:textId="722BC1BE" w:rsidR="00B021DF" w:rsidRDefault="00B021DF" w:rsidP="0097062A">
      <w:r>
        <w:t>Done right, PACE has the potential to streamline service delivery for both participants and providers. NDS will work towards making sure practical improvements for providers are a feature PACE</w:t>
      </w:r>
      <w:r w:rsidR="000C66E0">
        <w:t>.</w:t>
      </w:r>
    </w:p>
    <w:p w14:paraId="7828405D" w14:textId="77777777" w:rsidR="004316F3" w:rsidRDefault="7EFE1367" w:rsidP="0097062A">
      <w:pPr>
        <w:pStyle w:val="Heading3"/>
      </w:pPr>
      <w:r w:rsidRPr="4311C069">
        <w:t>What</w:t>
      </w:r>
      <w:r w:rsidR="371CE8E7" w:rsidRPr="4311C069">
        <w:t>’s</w:t>
      </w:r>
      <w:r w:rsidRPr="4311C069">
        <w:t xml:space="preserve"> next?</w:t>
      </w:r>
    </w:p>
    <w:p w14:paraId="42051205" w14:textId="77777777" w:rsidR="004316F3" w:rsidRDefault="00B021DF" w:rsidP="0097062A">
      <w:r w:rsidRPr="00F923A1">
        <w:t xml:space="preserve">Finding the right </w:t>
      </w:r>
      <w:r w:rsidR="00DE38A1">
        <w:t>tempo</w:t>
      </w:r>
      <w:r w:rsidRPr="00F923A1">
        <w:t xml:space="preserve"> for change presents the government with a </w:t>
      </w:r>
      <w:r w:rsidR="00DE4DD1">
        <w:t>g</w:t>
      </w:r>
      <w:r w:rsidRPr="00F923A1">
        <w:t>oldilocks dilemma: move too quickly, and you risk unintended consequences and leaving people behind; move too slowly, and p</w:t>
      </w:r>
      <w:r>
        <w:t>eople with disability</w:t>
      </w:r>
      <w:r w:rsidRPr="00F923A1">
        <w:t xml:space="preserve"> </w:t>
      </w:r>
      <w:r>
        <w:t xml:space="preserve">miss out on improved outcomes and </w:t>
      </w:r>
      <w:r w:rsidRPr="2C4884B3" w:rsidDel="00F30502">
        <w:t>long</w:t>
      </w:r>
      <w:r>
        <w:t>-standing issues get worse.</w:t>
      </w:r>
    </w:p>
    <w:p w14:paraId="75DB1828" w14:textId="77777777" w:rsidR="004316F3" w:rsidRDefault="00B021DF" w:rsidP="0097062A">
      <w:r>
        <w:t xml:space="preserve">There is significant pressure on the sustainability of the NDIS. Along with the eight per cent growth target announced last year, the government </w:t>
      </w:r>
      <w:r w:rsidRPr="00F923A1">
        <w:t>has projected $14.4 billion in savings</w:t>
      </w:r>
      <w:r>
        <w:t xml:space="preserve"> over four years from June 2024. These savings are</w:t>
      </w:r>
      <w:r w:rsidRPr="00F923A1">
        <w:t xml:space="preserve"> heavily reliant on successful reforms to the </w:t>
      </w:r>
      <w:r>
        <w:t>NDIS and foundational support system</w:t>
      </w:r>
      <w:r w:rsidRPr="00F923A1">
        <w:t>.</w:t>
      </w:r>
    </w:p>
    <w:p w14:paraId="74AC3A2D" w14:textId="77777777" w:rsidR="004316F3" w:rsidRDefault="00B021DF" w:rsidP="0097062A">
      <w:r w:rsidRPr="00F923A1">
        <w:lastRenderedPageBreak/>
        <w:t xml:space="preserve">The Disability Royal Commission </w:t>
      </w:r>
      <w:r w:rsidRPr="48E9F594">
        <w:t>and NDIS Review have laid out an ambitious reform agenda</w:t>
      </w:r>
      <w:r w:rsidR="00E85FA8">
        <w:t>. It sets</w:t>
      </w:r>
      <w:r w:rsidRPr="48E9F594">
        <w:t xml:space="preserve"> a clear direction but leav</w:t>
      </w:r>
      <w:r w:rsidR="00E85FA8">
        <w:t>es</w:t>
      </w:r>
      <w:r w:rsidRPr="48E9F594">
        <w:t xml:space="preserve"> </w:t>
      </w:r>
      <w:r w:rsidRPr="00F923A1">
        <w:t>the sector</w:t>
      </w:r>
      <w:r>
        <w:t xml:space="preserve"> to navigate the path forward.</w:t>
      </w:r>
      <w:r w:rsidRPr="00F923A1">
        <w:t xml:space="preserve"> </w:t>
      </w:r>
      <w:r>
        <w:t xml:space="preserve">Government, via the Disability Reform Ministerial Council, has published a high-level roadmap for reform </w:t>
      </w:r>
      <w:r w:rsidRPr="018B9FFC">
        <w:t xml:space="preserve">— </w:t>
      </w:r>
      <w:r w:rsidRPr="00F923A1">
        <w:t xml:space="preserve">a commitment we believe </w:t>
      </w:r>
      <w:proofErr w:type="gramStart"/>
      <w:r w:rsidRPr="00F923A1">
        <w:t>NDS</w:t>
      </w:r>
      <w:proofErr w:type="gramEnd"/>
      <w:r w:rsidRPr="00F923A1">
        <w:t xml:space="preserve"> and our members played a crucial role in</w:t>
      </w:r>
      <w:r w:rsidR="006F6094">
        <w:t>.</w:t>
      </w:r>
    </w:p>
    <w:p w14:paraId="6612140A" w14:textId="77777777" w:rsidR="004316F3" w:rsidRDefault="00B021DF" w:rsidP="0097062A">
      <w:r>
        <w:t>But more detail is needed.</w:t>
      </w:r>
      <w:r w:rsidR="20E77D08">
        <w:t xml:space="preserve"> </w:t>
      </w:r>
      <w:r>
        <w:t xml:space="preserve">Since the announcement of the NDIS Review, we have </w:t>
      </w:r>
      <w:r w:rsidR="00230C64">
        <w:t>called</w:t>
      </w:r>
      <w:r>
        <w:t xml:space="preserve"> for a detailed roadmap that integrates these multiple, complex, interrelated reform agendas. With Minister Shorten set to retire in February 2025, securing bipartisan and whole-of-government support will be essential for successful implementation.</w:t>
      </w:r>
    </w:p>
    <w:p w14:paraId="5A74434C" w14:textId="77777777" w:rsidR="004316F3" w:rsidRDefault="124D282F" w:rsidP="0097062A">
      <w:r>
        <w:t>Our sector stands ready and eager for change, having long championed it. Yet</w:t>
      </w:r>
      <w:r w:rsidR="008434E8">
        <w:t xml:space="preserve"> many</w:t>
      </w:r>
      <w:r>
        <w:t xml:space="preserve"> providers are deeply concerned about sustaining their operations. To achieve meaningful reform,</w:t>
      </w:r>
      <w:r w:rsidR="00C87612">
        <w:t xml:space="preserve"> </w:t>
      </w:r>
      <w:r w:rsidR="000C092F">
        <w:t>NDS is advocating for</w:t>
      </w:r>
      <w:r>
        <w:t xml:space="preserve"> the adequate resources and supportive policies that enable </w:t>
      </w:r>
      <w:r w:rsidR="000C092F">
        <w:t xml:space="preserve">the sector to play a </w:t>
      </w:r>
      <w:r>
        <w:t>critical role in delivering practical, on-the-ground changes. Much of the success of the government’s reform agenda hinges on the capacity and capability of providers.</w:t>
      </w:r>
    </w:p>
    <w:p w14:paraId="2CAEBE5C" w14:textId="3E68EDB6" w:rsidR="00B021DF" w:rsidRPr="007F629B" w:rsidRDefault="00B021DF" w:rsidP="0097062A">
      <w:pPr>
        <w:pStyle w:val="Heading2"/>
        <w:rPr>
          <w:rFonts w:ascii="Calibri Light" w:hAnsi="Calibri Light" w:cs="Calibri Light"/>
          <w:sz w:val="36"/>
          <w:szCs w:val="36"/>
        </w:rPr>
      </w:pPr>
      <w:bookmarkStart w:id="12" w:name="_Toc180593626"/>
      <w:bookmarkStart w:id="13" w:name="_Toc181351999"/>
      <w:bookmarkStart w:id="14" w:name="_Toc184287163"/>
      <w:r>
        <w:lastRenderedPageBreak/>
        <w:t>The state of the operating environment</w:t>
      </w:r>
      <w:bookmarkEnd w:id="12"/>
      <w:bookmarkEnd w:id="13"/>
      <w:bookmarkEnd w:id="14"/>
    </w:p>
    <w:p w14:paraId="6740EB42" w14:textId="77777777" w:rsidR="004316F3" w:rsidRDefault="00B021DF" w:rsidP="0097062A">
      <w:r>
        <w:t>The 2024 National Disability Services State of the Disability Sector annual survey was conducted by the Centre for Disability Research and Policy at the University of Sydney.</w:t>
      </w:r>
    </w:p>
    <w:p w14:paraId="281F4226" w14:textId="4FEC2A24" w:rsidR="004316F3" w:rsidRDefault="00B021DF" w:rsidP="0097062A">
      <w:r>
        <w:t>We received c</w:t>
      </w:r>
      <w:r w:rsidRPr="00620176">
        <w:t>omplete responses from 397 organisations, down from last year’s recent peak of 432. The survey was sent at a particularly busy time in the sector with many organisations responding to NDIS consultations and other changes in the sector.</w:t>
      </w:r>
    </w:p>
    <w:p w14:paraId="254F95BA" w14:textId="408E249C" w:rsidR="00B021DF" w:rsidRPr="006E7BCC" w:rsidRDefault="00B021DF" w:rsidP="0097062A">
      <w:pPr>
        <w:pStyle w:val="Heading3"/>
      </w:pPr>
      <w:r>
        <w:t>Respondent demographics</w:t>
      </w:r>
    </w:p>
    <w:p w14:paraId="792FCB32" w14:textId="11E3D430" w:rsidR="00B021DF" w:rsidRDefault="7EFE1367" w:rsidP="0097062A">
      <w:r>
        <w:t xml:space="preserve">Once again, </w:t>
      </w:r>
      <w:proofErr w:type="gramStart"/>
      <w:r>
        <w:t>the majority of</w:t>
      </w:r>
      <w:proofErr w:type="gramEnd"/>
      <w:r>
        <w:t xml:space="preserve"> respondents </w:t>
      </w:r>
      <w:r w:rsidR="4E8D16E0">
        <w:t>we</w:t>
      </w:r>
      <w:r>
        <w:t>re from New South Wales, followed by Victoria, Queensland, Western Australia, South Australia, ACT, Tasmania and the Northern Territory.</w:t>
      </w:r>
      <w:r w:rsidR="003A6423">
        <w:t xml:space="preserve"> See </w:t>
      </w:r>
      <w:r w:rsidR="00AA5B65" w:rsidRPr="00AA5B65">
        <w:rPr>
          <w:rStyle w:val="Hyperlink"/>
        </w:rPr>
        <w:fldChar w:fldCharType="begin"/>
      </w:r>
      <w:r w:rsidR="00AA5B65" w:rsidRPr="00AA5B65">
        <w:instrText xml:space="preserve"> REF _Ref183699021 \h </w:instrText>
      </w:r>
      <w:r w:rsidR="00AA5B65" w:rsidRPr="00AA5B65">
        <w:rPr>
          <w:rStyle w:val="Hyperlink"/>
        </w:rPr>
        <w:instrText xml:space="preserve"> \* MERGEFORMAT </w:instrText>
      </w:r>
      <w:r w:rsidR="00AA5B65" w:rsidRPr="00AA5B65">
        <w:rPr>
          <w:rStyle w:val="Hyperlink"/>
        </w:rPr>
      </w:r>
      <w:r w:rsidR="00AA5B65" w:rsidRPr="00AA5B65">
        <w:rPr>
          <w:rStyle w:val="Hyperlink"/>
        </w:rPr>
        <w:fldChar w:fldCharType="separate"/>
      </w:r>
      <w:r w:rsidR="00AA5B65" w:rsidRPr="00AA5B65">
        <w:t>Table </w:t>
      </w:r>
      <w:r w:rsidR="00AA5B65" w:rsidRPr="00AA5B65">
        <w:rPr>
          <w:noProof/>
        </w:rPr>
        <w:t>1</w:t>
      </w:r>
      <w:r w:rsidR="00AA5B65" w:rsidRPr="00AA5B65">
        <w:rPr>
          <w:rStyle w:val="Hyperlink"/>
        </w:rPr>
        <w:fldChar w:fldCharType="end"/>
      </w:r>
      <w:r w:rsidR="003A6423">
        <w:t>.</w:t>
      </w:r>
    </w:p>
    <w:p w14:paraId="02BAA8C6" w14:textId="77777777" w:rsidR="004316F3" w:rsidRDefault="00B021DF" w:rsidP="0097062A">
      <w:r w:rsidRPr="00620176">
        <w:t>This year, we asked a more specific question</w:t>
      </w:r>
      <w:r w:rsidR="009F7528">
        <w:t>:</w:t>
      </w:r>
      <w:r w:rsidRPr="00620176">
        <w:t xml:space="preserve"> where do responding organisations provide services?</w:t>
      </w:r>
      <w:r>
        <w:t xml:space="preserve"> </w:t>
      </w:r>
      <w:r w:rsidRPr="00620176">
        <w:t>Organisations were able to indicate that they provided services in more than one state or territory.</w:t>
      </w:r>
    </w:p>
    <w:p w14:paraId="33DF7872" w14:textId="7DBF09F5" w:rsidR="00B50CFF" w:rsidRDefault="009D342F" w:rsidP="005366DB">
      <w:pPr>
        <w:pStyle w:val="Caption"/>
      </w:pPr>
      <w:bookmarkStart w:id="15" w:name="_Ref183699021"/>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1</w:t>
      </w:r>
      <w:r w:rsidR="0007250B" w:rsidRPr="001A77F7">
        <w:rPr>
          <w:b/>
          <w:bCs/>
          <w:noProof/>
        </w:rPr>
        <w:fldChar w:fldCharType="end"/>
      </w:r>
      <w:bookmarkEnd w:id="15"/>
      <w:r w:rsidR="00B50CFF">
        <w:t xml:space="preserve"> </w:t>
      </w:r>
      <w:r w:rsidR="00B50CFF" w:rsidRPr="0023170C">
        <w:t>Response by head office location and service location</w:t>
      </w:r>
    </w:p>
    <w:tbl>
      <w:tblPr>
        <w:tblW w:w="0" w:type="auto"/>
        <w:tblLook w:val="04A0" w:firstRow="1" w:lastRow="0" w:firstColumn="1" w:lastColumn="0" w:noHBand="0" w:noVBand="1"/>
        <w:tblCaption w:val="Table 1 Response by head office location and service location"/>
        <w:tblDescription w:val="A table showing the responses by head office location and where services are provided."/>
      </w:tblPr>
      <w:tblGrid>
        <w:gridCol w:w="2284"/>
        <w:gridCol w:w="2497"/>
        <w:gridCol w:w="2057"/>
      </w:tblGrid>
      <w:tr w:rsidR="00CA28DE" w:rsidRPr="00F91A85" w14:paraId="491B1630" w14:textId="77777777" w:rsidTr="00B550BF">
        <w:trPr>
          <w:trHeight w:val="421"/>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CA1F0" w14:textId="77777777" w:rsidR="00CA28DE" w:rsidRPr="00F91A85" w:rsidRDefault="00CA28DE" w:rsidP="00F91A85">
            <w:pPr>
              <w:rPr>
                <w:b/>
                <w:bCs/>
                <w:lang w:eastAsia="en-AU"/>
              </w:rPr>
            </w:pPr>
            <w:bookmarkStart w:id="16" w:name="Title_Table_1"/>
            <w:bookmarkEnd w:id="16"/>
            <w:r w:rsidRPr="00F91A85">
              <w:rPr>
                <w:b/>
                <w:bCs/>
                <w:lang w:eastAsia="en-AU"/>
              </w:rPr>
              <w:t>State and territory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FD3D04" w14:textId="77777777" w:rsidR="00CA28DE" w:rsidRPr="00F91A85" w:rsidRDefault="00CA28DE" w:rsidP="00F91A85">
            <w:pPr>
              <w:rPr>
                <w:b/>
                <w:bCs/>
                <w:lang w:eastAsia="en-AU"/>
              </w:rPr>
            </w:pPr>
            <w:r w:rsidRPr="00F91A85">
              <w:rPr>
                <w:b/>
                <w:bCs/>
                <w:lang w:eastAsia="en-AU"/>
              </w:rPr>
              <w:t>Head office location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AB193" w14:textId="77777777" w:rsidR="00CA28DE" w:rsidRPr="00F91A85" w:rsidRDefault="00CA28DE" w:rsidP="00F91A85">
            <w:pPr>
              <w:rPr>
                <w:b/>
                <w:bCs/>
                <w:lang w:eastAsia="en-AU"/>
              </w:rPr>
            </w:pPr>
            <w:r w:rsidRPr="00F91A85">
              <w:rPr>
                <w:b/>
                <w:bCs/>
                <w:lang w:eastAsia="en-AU"/>
              </w:rPr>
              <w:t>Service location</w:t>
            </w:r>
          </w:p>
        </w:tc>
      </w:tr>
      <w:tr w:rsidR="00CA28DE" w:rsidRPr="00813E69" w14:paraId="2631F3DF"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2F1BB6"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NSW</w:t>
            </w:r>
          </w:p>
        </w:tc>
        <w:tc>
          <w:tcPr>
            <w:tcW w:w="0" w:type="auto"/>
            <w:tcBorders>
              <w:top w:val="nil"/>
              <w:left w:val="nil"/>
              <w:bottom w:val="single" w:sz="4" w:space="0" w:color="auto"/>
              <w:right w:val="single" w:sz="4" w:space="0" w:color="auto"/>
            </w:tcBorders>
            <w:shd w:val="clear" w:color="auto" w:fill="auto"/>
            <w:noWrap/>
            <w:vAlign w:val="center"/>
            <w:hideMark/>
          </w:tcPr>
          <w:p w14:paraId="3D46DAA7"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29</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623F01B9"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26</w:t>
            </w:r>
            <w:r>
              <w:rPr>
                <w:rFonts w:eastAsia="Times New Roman"/>
                <w:color w:val="000000"/>
                <w:kern w:val="0"/>
                <w:lang w:eastAsia="en-AU"/>
                <w14:ligatures w14:val="none"/>
              </w:rPr>
              <w:t xml:space="preserve"> per cent</w:t>
            </w:r>
          </w:p>
        </w:tc>
      </w:tr>
      <w:tr w:rsidR="00CA28DE" w:rsidRPr="00813E69" w14:paraId="60390463"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5676F"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VIC</w:t>
            </w:r>
          </w:p>
        </w:tc>
        <w:tc>
          <w:tcPr>
            <w:tcW w:w="0" w:type="auto"/>
            <w:tcBorders>
              <w:top w:val="nil"/>
              <w:left w:val="nil"/>
              <w:bottom w:val="single" w:sz="4" w:space="0" w:color="auto"/>
              <w:right w:val="single" w:sz="4" w:space="0" w:color="auto"/>
            </w:tcBorders>
            <w:shd w:val="clear" w:color="auto" w:fill="auto"/>
            <w:noWrap/>
            <w:vAlign w:val="center"/>
            <w:hideMark/>
          </w:tcPr>
          <w:p w14:paraId="7E3DFAB7"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27</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2AC8462D"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21</w:t>
            </w:r>
            <w:r>
              <w:rPr>
                <w:rFonts w:eastAsia="Times New Roman"/>
                <w:color w:val="000000"/>
                <w:kern w:val="0"/>
                <w:lang w:eastAsia="en-AU"/>
                <w14:ligatures w14:val="none"/>
              </w:rPr>
              <w:t xml:space="preserve"> per cent</w:t>
            </w:r>
          </w:p>
        </w:tc>
      </w:tr>
      <w:tr w:rsidR="00CA28DE" w:rsidRPr="00813E69" w14:paraId="5F4B7B07"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A3438"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QLD</w:t>
            </w:r>
          </w:p>
        </w:tc>
        <w:tc>
          <w:tcPr>
            <w:tcW w:w="0" w:type="auto"/>
            <w:tcBorders>
              <w:top w:val="nil"/>
              <w:left w:val="nil"/>
              <w:bottom w:val="single" w:sz="4" w:space="0" w:color="auto"/>
              <w:right w:val="single" w:sz="4" w:space="0" w:color="auto"/>
            </w:tcBorders>
            <w:shd w:val="clear" w:color="auto" w:fill="auto"/>
            <w:noWrap/>
            <w:vAlign w:val="center"/>
            <w:hideMark/>
          </w:tcPr>
          <w:p w14:paraId="3361EB30"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13</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4E8855AC"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15</w:t>
            </w:r>
            <w:r>
              <w:rPr>
                <w:rFonts w:eastAsia="Times New Roman"/>
                <w:color w:val="000000"/>
                <w:kern w:val="0"/>
                <w:lang w:eastAsia="en-AU"/>
                <w14:ligatures w14:val="none"/>
              </w:rPr>
              <w:t xml:space="preserve"> per cent</w:t>
            </w:r>
          </w:p>
        </w:tc>
      </w:tr>
      <w:tr w:rsidR="00CA28DE" w:rsidRPr="00813E69" w14:paraId="3D1D7D56"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BA9AF"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WA</w:t>
            </w:r>
          </w:p>
        </w:tc>
        <w:tc>
          <w:tcPr>
            <w:tcW w:w="0" w:type="auto"/>
            <w:tcBorders>
              <w:top w:val="nil"/>
              <w:left w:val="nil"/>
              <w:bottom w:val="single" w:sz="4" w:space="0" w:color="auto"/>
              <w:right w:val="single" w:sz="4" w:space="0" w:color="auto"/>
            </w:tcBorders>
            <w:shd w:val="clear" w:color="auto" w:fill="auto"/>
            <w:noWrap/>
            <w:vAlign w:val="center"/>
            <w:hideMark/>
          </w:tcPr>
          <w:p w14:paraId="53699F3A"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13</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160E4944"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12</w:t>
            </w:r>
            <w:r>
              <w:rPr>
                <w:rFonts w:eastAsia="Times New Roman"/>
                <w:color w:val="000000"/>
                <w:kern w:val="0"/>
                <w:lang w:eastAsia="en-AU"/>
                <w14:ligatures w14:val="none"/>
              </w:rPr>
              <w:t xml:space="preserve"> per cent</w:t>
            </w:r>
          </w:p>
        </w:tc>
      </w:tr>
      <w:tr w:rsidR="00CA28DE" w:rsidRPr="00813E69" w14:paraId="5E6AFD83"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5E1898"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SA</w:t>
            </w:r>
          </w:p>
        </w:tc>
        <w:tc>
          <w:tcPr>
            <w:tcW w:w="0" w:type="auto"/>
            <w:tcBorders>
              <w:top w:val="nil"/>
              <w:left w:val="nil"/>
              <w:bottom w:val="single" w:sz="4" w:space="0" w:color="auto"/>
              <w:right w:val="single" w:sz="4" w:space="0" w:color="auto"/>
            </w:tcBorders>
            <w:shd w:val="clear" w:color="auto" w:fill="auto"/>
            <w:noWrap/>
            <w:vAlign w:val="center"/>
            <w:hideMark/>
          </w:tcPr>
          <w:p w14:paraId="47E25C94"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9</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5206800B"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10</w:t>
            </w:r>
            <w:r>
              <w:rPr>
                <w:rFonts w:eastAsia="Times New Roman"/>
                <w:color w:val="000000"/>
                <w:kern w:val="0"/>
                <w:lang w:eastAsia="en-AU"/>
                <w14:ligatures w14:val="none"/>
              </w:rPr>
              <w:t xml:space="preserve"> per cent</w:t>
            </w:r>
          </w:p>
        </w:tc>
      </w:tr>
      <w:tr w:rsidR="00CA28DE" w:rsidRPr="00813E69" w14:paraId="6AE431F8"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8C6A6C"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ACT</w:t>
            </w:r>
          </w:p>
        </w:tc>
        <w:tc>
          <w:tcPr>
            <w:tcW w:w="0" w:type="auto"/>
            <w:tcBorders>
              <w:top w:val="nil"/>
              <w:left w:val="nil"/>
              <w:bottom w:val="single" w:sz="4" w:space="0" w:color="auto"/>
              <w:right w:val="single" w:sz="4" w:space="0" w:color="auto"/>
            </w:tcBorders>
            <w:shd w:val="clear" w:color="auto" w:fill="auto"/>
            <w:noWrap/>
            <w:vAlign w:val="center"/>
            <w:hideMark/>
          </w:tcPr>
          <w:p w14:paraId="2ADB974A"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5</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4547B47E"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6</w:t>
            </w:r>
            <w:r>
              <w:rPr>
                <w:rFonts w:eastAsia="Times New Roman"/>
                <w:color w:val="000000"/>
                <w:kern w:val="0"/>
                <w:lang w:eastAsia="en-AU"/>
                <w14:ligatures w14:val="none"/>
              </w:rPr>
              <w:t xml:space="preserve"> per cent</w:t>
            </w:r>
          </w:p>
        </w:tc>
      </w:tr>
      <w:tr w:rsidR="00CA28DE" w:rsidRPr="00813E69" w14:paraId="6D9ED02A"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5DDC06"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TAS</w:t>
            </w:r>
          </w:p>
        </w:tc>
        <w:tc>
          <w:tcPr>
            <w:tcW w:w="0" w:type="auto"/>
            <w:tcBorders>
              <w:top w:val="nil"/>
              <w:left w:val="nil"/>
              <w:bottom w:val="single" w:sz="4" w:space="0" w:color="auto"/>
              <w:right w:val="single" w:sz="4" w:space="0" w:color="auto"/>
            </w:tcBorders>
            <w:shd w:val="clear" w:color="auto" w:fill="auto"/>
            <w:noWrap/>
            <w:vAlign w:val="center"/>
            <w:hideMark/>
          </w:tcPr>
          <w:p w14:paraId="5ECE9F6E"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3</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37C72337"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6</w:t>
            </w:r>
            <w:r>
              <w:rPr>
                <w:rFonts w:eastAsia="Times New Roman"/>
                <w:color w:val="000000"/>
                <w:kern w:val="0"/>
                <w:lang w:eastAsia="en-AU"/>
                <w14:ligatures w14:val="none"/>
              </w:rPr>
              <w:t xml:space="preserve"> per cent</w:t>
            </w:r>
          </w:p>
        </w:tc>
      </w:tr>
      <w:tr w:rsidR="00CA28DE" w:rsidRPr="00813E69" w14:paraId="6EC0D63F" w14:textId="77777777" w:rsidTr="00B550BF">
        <w:trPr>
          <w:trHeight w:val="300"/>
          <w:tblHead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4DDA3"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NT</w:t>
            </w:r>
          </w:p>
        </w:tc>
        <w:tc>
          <w:tcPr>
            <w:tcW w:w="0" w:type="auto"/>
            <w:tcBorders>
              <w:top w:val="nil"/>
              <w:left w:val="nil"/>
              <w:bottom w:val="single" w:sz="4" w:space="0" w:color="auto"/>
              <w:right w:val="single" w:sz="4" w:space="0" w:color="auto"/>
            </w:tcBorders>
            <w:shd w:val="clear" w:color="auto" w:fill="auto"/>
            <w:noWrap/>
            <w:vAlign w:val="center"/>
            <w:hideMark/>
          </w:tcPr>
          <w:p w14:paraId="4FD76BCA"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2</w:t>
            </w:r>
            <w:r>
              <w:rPr>
                <w:rFonts w:eastAsia="Times New Roman"/>
                <w:color w:val="000000"/>
                <w:kern w:val="0"/>
                <w:lang w:eastAsia="en-AU"/>
                <w14:ligatures w14:val="none"/>
              </w:rPr>
              <w:t xml:space="preserve"> per cent</w:t>
            </w:r>
          </w:p>
        </w:tc>
        <w:tc>
          <w:tcPr>
            <w:tcW w:w="0" w:type="auto"/>
            <w:tcBorders>
              <w:top w:val="nil"/>
              <w:left w:val="nil"/>
              <w:bottom w:val="single" w:sz="4" w:space="0" w:color="auto"/>
              <w:right w:val="single" w:sz="4" w:space="0" w:color="auto"/>
            </w:tcBorders>
            <w:shd w:val="clear" w:color="auto" w:fill="auto"/>
            <w:noWrap/>
            <w:vAlign w:val="center"/>
            <w:hideMark/>
          </w:tcPr>
          <w:p w14:paraId="164EF95B" w14:textId="77777777" w:rsidR="00CA28DE" w:rsidRPr="00813E69" w:rsidRDefault="00CA28DE" w:rsidP="00B550BF">
            <w:pPr>
              <w:rPr>
                <w:rFonts w:eastAsia="Times New Roman"/>
                <w:color w:val="000000"/>
                <w:kern w:val="0"/>
                <w:lang w:eastAsia="en-AU"/>
                <w14:ligatures w14:val="none"/>
              </w:rPr>
            </w:pPr>
            <w:r w:rsidRPr="00813E69">
              <w:rPr>
                <w:rFonts w:eastAsia="Times New Roman"/>
                <w:color w:val="000000"/>
                <w:kern w:val="0"/>
                <w:lang w:eastAsia="en-AU"/>
                <w14:ligatures w14:val="none"/>
              </w:rPr>
              <w:t>4</w:t>
            </w:r>
            <w:r>
              <w:rPr>
                <w:rFonts w:eastAsia="Times New Roman"/>
                <w:color w:val="000000"/>
                <w:kern w:val="0"/>
                <w:lang w:eastAsia="en-AU"/>
                <w14:ligatures w14:val="none"/>
              </w:rPr>
              <w:t xml:space="preserve"> per cent</w:t>
            </w:r>
          </w:p>
        </w:tc>
      </w:tr>
    </w:tbl>
    <w:p w14:paraId="0EAF4CC5" w14:textId="77777777" w:rsidR="004316F3" w:rsidRPr="00B71CCD" w:rsidRDefault="00B021DF" w:rsidP="00B71CCD">
      <w:pPr>
        <w:pStyle w:val="NormalFirstAfterTable"/>
      </w:pPr>
      <w:r w:rsidRPr="00B71CCD">
        <w:lastRenderedPageBreak/>
        <w:t>We also asked organisations about the regions where they provide services. Seventy-nine per cent provided services in metropolitan areas and regional centres (major cities and population centres greater than 50,000). Fifty-one per cent provided services in rural areas (large rural, medium and small rural towns). Fourteen per cent provided services in remote areas (remote communities), and five per cent provided services in very remote communities.</w:t>
      </w:r>
    </w:p>
    <w:p w14:paraId="69A18668" w14:textId="4DE96AB4" w:rsidR="00B021DF" w:rsidRPr="00620176" w:rsidRDefault="00B021DF" w:rsidP="0097062A">
      <w:r>
        <w:t>Respondents also estimated the number of participants supported by their organisations in the various geographic areas. They identified 171,674 participants, with 130,268 participants in metropolitan and regional centres, 37,373 in rural areas, 3309 in remote areas and 724 in very remote areas.</w:t>
      </w:r>
    </w:p>
    <w:p w14:paraId="63CDC1D9" w14:textId="77777777" w:rsidR="004316F3" w:rsidRDefault="00B021DF" w:rsidP="0097062A">
      <w:r>
        <w:t>Over half of responding organisations (57 per cent) were companies, while 36 per cent were incorporated associations, three per cent were trusts, three per cent were sole traders, and one per cent were partnerships.</w:t>
      </w:r>
    </w:p>
    <w:p w14:paraId="7D2B9E49" w14:textId="77777777" w:rsidR="004316F3" w:rsidRDefault="00B021DF" w:rsidP="0097062A">
      <w:r>
        <w:t>Seventy-three percent of responding organisations were not-for-profits, while 26 per cent were for-profits and one per cent were “other” types of organisations.</w:t>
      </w:r>
    </w:p>
    <w:p w14:paraId="54573FCE" w14:textId="67929359" w:rsidR="00B021DF" w:rsidRPr="00FE1F1B" w:rsidRDefault="00B021DF" w:rsidP="0097062A">
      <w:pPr>
        <w:rPr>
          <w:rFonts w:ascii="Segoe UI Symbol" w:hAnsi="Segoe UI Symbol" w:cs="Segoe UI Symbol"/>
          <w:color w:val="000000" w:themeColor="text1"/>
          <w:lang w:val="en-US"/>
        </w:rPr>
      </w:pPr>
      <w:r w:rsidRPr="00620176">
        <w:t>Organisations ranged from sole trader (</w:t>
      </w:r>
      <w:r>
        <w:t>one</w:t>
      </w:r>
      <w:r w:rsidRPr="00C47BDB">
        <w:t xml:space="preserve"> </w:t>
      </w:r>
      <w:r>
        <w:t>per cent</w:t>
      </w:r>
      <w:r w:rsidRPr="00620176">
        <w:t>) to small organisations with less than 50 employees (35</w:t>
      </w:r>
      <w:r w:rsidRPr="00C47BDB">
        <w:t xml:space="preserve"> </w:t>
      </w:r>
      <w:r>
        <w:t>per cent</w:t>
      </w:r>
      <w:r w:rsidRPr="00620176">
        <w:t>), medium organisations with between 50 and 199 employees (34</w:t>
      </w:r>
      <w:r w:rsidRPr="00C47BDB">
        <w:t xml:space="preserve"> </w:t>
      </w:r>
      <w:r>
        <w:t>per cent</w:t>
      </w:r>
      <w:r w:rsidRPr="00620176">
        <w:t>), large organisations with between 200 and 999 employees (26</w:t>
      </w:r>
      <w:r w:rsidRPr="00C47BDB">
        <w:t xml:space="preserve"> </w:t>
      </w:r>
      <w:r>
        <w:t>per cent</w:t>
      </w:r>
      <w:r w:rsidRPr="00620176">
        <w:t xml:space="preserve">), and very large organisations with over </w:t>
      </w:r>
      <w:r>
        <w:t>1000</w:t>
      </w:r>
      <w:r w:rsidRPr="00620176">
        <w:t xml:space="preserve"> employees (4</w:t>
      </w:r>
      <w:r w:rsidRPr="00C47BDB">
        <w:t xml:space="preserve"> </w:t>
      </w:r>
      <w:r>
        <w:t>per cent</w:t>
      </w:r>
      <w:r w:rsidRPr="00620176">
        <w:t>).</w:t>
      </w:r>
    </w:p>
    <w:p w14:paraId="32379A1A" w14:textId="77777777" w:rsidR="00B021DF" w:rsidRDefault="00B021DF" w:rsidP="0097062A">
      <w:r>
        <w:t>There was a range of incomes:</w:t>
      </w:r>
    </w:p>
    <w:p w14:paraId="1A1FB03D" w14:textId="3C9B4D5C" w:rsidR="00B021DF" w:rsidRPr="00FE1F1B" w:rsidRDefault="00B021DF" w:rsidP="0097062A">
      <w:pPr>
        <w:pStyle w:val="ListParagraph"/>
        <w:numPr>
          <w:ilvl w:val="0"/>
          <w:numId w:val="46"/>
        </w:numPr>
        <w:rPr>
          <w:rFonts w:ascii="Segoe UI Symbol" w:hAnsi="Segoe UI Symbol" w:cs="Segoe UI Symbol"/>
          <w:color w:val="000000"/>
          <w:bdr w:val="none" w:sz="0" w:space="0" w:color="auto" w:frame="1"/>
          <w:lang w:val="en-US"/>
        </w:rPr>
      </w:pPr>
      <w:r w:rsidRPr="00FE1F1B">
        <w:t>very small</w:t>
      </w:r>
      <w:r w:rsidR="00937C87">
        <w:t xml:space="preserve"> – </w:t>
      </w:r>
      <w:r w:rsidRPr="00FE1F1B">
        <w:t>incomes of less than $1 million (14 per cent)</w:t>
      </w:r>
    </w:p>
    <w:p w14:paraId="4CB8D100" w14:textId="6C7AD0EE" w:rsidR="00B021DF" w:rsidRPr="00FE1F1B" w:rsidRDefault="00B021DF" w:rsidP="0097062A">
      <w:pPr>
        <w:pStyle w:val="ListParagraph"/>
        <w:numPr>
          <w:ilvl w:val="0"/>
          <w:numId w:val="46"/>
        </w:numPr>
        <w:rPr>
          <w:rFonts w:ascii="Segoe UI Symbol" w:hAnsi="Segoe UI Symbol" w:cs="Segoe UI Symbol"/>
          <w:color w:val="000000"/>
          <w:bdr w:val="none" w:sz="0" w:space="0" w:color="auto" w:frame="1"/>
          <w:lang w:val="en-US"/>
        </w:rPr>
      </w:pPr>
      <w:r w:rsidRPr="00FE1F1B">
        <w:t>small</w:t>
      </w:r>
      <w:r w:rsidR="00937C87">
        <w:t xml:space="preserve"> – </w:t>
      </w:r>
      <w:r w:rsidRPr="00FE1F1B">
        <w:t>between $1 million and $5 million in income (27 per cent)</w:t>
      </w:r>
    </w:p>
    <w:p w14:paraId="5D9F061B" w14:textId="28045FE2" w:rsidR="004316F3" w:rsidRDefault="00B021DF" w:rsidP="0097062A">
      <w:pPr>
        <w:pStyle w:val="ListParagraph"/>
        <w:numPr>
          <w:ilvl w:val="0"/>
          <w:numId w:val="46"/>
        </w:numPr>
      </w:pPr>
      <w:r w:rsidRPr="00FE1F1B">
        <w:t>medium</w:t>
      </w:r>
      <w:r w:rsidR="00937C87">
        <w:t xml:space="preserve"> – </w:t>
      </w:r>
      <w:r w:rsidRPr="00FE1F1B">
        <w:t>between $5 million and $20 million in income (32 per cent)</w:t>
      </w:r>
    </w:p>
    <w:p w14:paraId="5A33C390" w14:textId="0A4C454E" w:rsidR="004316F3" w:rsidRDefault="00B021DF" w:rsidP="0097062A">
      <w:pPr>
        <w:pStyle w:val="ListParagraph"/>
        <w:numPr>
          <w:ilvl w:val="0"/>
          <w:numId w:val="46"/>
        </w:numPr>
      </w:pPr>
      <w:r w:rsidRPr="00FE1F1B">
        <w:t>large</w:t>
      </w:r>
      <w:r w:rsidR="00937C87">
        <w:t xml:space="preserve"> – </w:t>
      </w:r>
      <w:r w:rsidRPr="00FE1F1B">
        <w:t>with incomes over $20 million (28 per cent).</w:t>
      </w:r>
    </w:p>
    <w:p w14:paraId="1D18B196" w14:textId="77777777" w:rsidR="004316F3" w:rsidRDefault="00B021DF" w:rsidP="0097062A">
      <w:r>
        <w:t>Ninety-nine percent of respondents provided services under the NDIS. Ninety-three percent were registered to provide services under the NDIS and were providing services, five per cent were not registered but provided services, two per cent were previously registered but have deregistered, one per cent were not registered and did not intend to register, and one responding organisation was not registered but intended to provide services under the NDIS.</w:t>
      </w:r>
    </w:p>
    <w:p w14:paraId="55DBFE0B" w14:textId="77777777" w:rsidR="004316F3" w:rsidRDefault="00B021DF" w:rsidP="0097062A">
      <w:r>
        <w:lastRenderedPageBreak/>
        <w:t>In addition to NDIS service provision, 10 per cent of responding organisations provided Supported Employment Services, five percent provided Disability Employment Services, and 13 per cent provided other services. Most responding organisations were established between 1951 and 2000 (60 per cent), while seven per cent were established between 2001 and 2013 (pre-NDIS legislation) and 26 per cent were established in or after 2014.</w:t>
      </w:r>
    </w:p>
    <w:p w14:paraId="04C40629" w14:textId="5761969E" w:rsidR="00B021DF" w:rsidRPr="00620176" w:rsidRDefault="00B021DF" w:rsidP="0097062A">
      <w:pPr>
        <w:pStyle w:val="Heading3"/>
      </w:pPr>
      <w:r>
        <w:t>Disability sector operating conditions</w:t>
      </w:r>
    </w:p>
    <w:p w14:paraId="20CA271F" w14:textId="2B66A8D1" w:rsidR="004316F3" w:rsidRDefault="00B021DF" w:rsidP="0097062A">
      <w:pPr>
        <w:rPr>
          <w:rFonts w:ascii="Segoe UI Symbol" w:hAnsi="Segoe UI Symbol" w:cs="Segoe UI Symbol"/>
          <w:color w:val="000000" w:themeColor="text1"/>
          <w:lang w:val="en-US"/>
        </w:rPr>
      </w:pPr>
      <w:r>
        <w:t>Disability sector operating conditions continued to decline</w:t>
      </w:r>
      <w:r w:rsidR="00907E01">
        <w:t>,</w:t>
      </w:r>
      <w:r>
        <w:t xml:space="preserve"> with a striking 348 respondents (88 per cent) indicating that operating conditions in the non-government disability sector have worsened</w:t>
      </w:r>
      <w:r w:rsidR="003A6423">
        <w:t xml:space="preserve"> (see </w:t>
      </w:r>
      <w:r w:rsidR="003A6423">
        <w:fldChar w:fldCharType="begin"/>
      </w:r>
      <w:r w:rsidR="003A6423">
        <w:instrText xml:space="preserve"> REF _Ref183699133 \h </w:instrText>
      </w:r>
      <w:r w:rsidR="003A6423">
        <w:fldChar w:fldCharType="separate"/>
      </w:r>
      <w:r w:rsidR="009D342F">
        <w:t>Table </w:t>
      </w:r>
      <w:r w:rsidR="003A6423">
        <w:rPr>
          <w:noProof/>
        </w:rPr>
        <w:t>2</w:t>
      </w:r>
      <w:r w:rsidR="003A6423">
        <w:fldChar w:fldCharType="end"/>
      </w:r>
      <w:r w:rsidR="003A6423">
        <w:t>)</w:t>
      </w:r>
      <w:r>
        <w:t>, while only 287 respondents (73 per cent) said the same about the wider Australian economy</w:t>
      </w:r>
      <w:r w:rsidR="003A6423">
        <w:t xml:space="preserve"> (see </w:t>
      </w:r>
      <w:r w:rsidR="003A6423">
        <w:fldChar w:fldCharType="begin"/>
      </w:r>
      <w:r w:rsidR="003A6423">
        <w:instrText xml:space="preserve"> REF _Ref183699228 \h </w:instrText>
      </w:r>
      <w:r w:rsidR="003A6423">
        <w:fldChar w:fldCharType="separate"/>
      </w:r>
      <w:r w:rsidR="009D342F">
        <w:t>Table </w:t>
      </w:r>
      <w:r w:rsidR="003A6423">
        <w:rPr>
          <w:noProof/>
        </w:rPr>
        <w:t>3</w:t>
      </w:r>
      <w:r w:rsidR="003A6423">
        <w:fldChar w:fldCharType="end"/>
      </w:r>
      <w:r w:rsidR="003A6423">
        <w:t>)</w:t>
      </w:r>
      <w:r>
        <w:t xml:space="preserve">. </w:t>
      </w:r>
      <w:proofErr w:type="gramStart"/>
      <w:r>
        <w:t>Both of these</w:t>
      </w:r>
      <w:proofErr w:type="gramEnd"/>
      <w:r>
        <w:t xml:space="preserve"> responses were significantly more negative than in 2023. Trendlines included on the graphs show an increasingly negative trend</w:t>
      </w:r>
      <w:r w:rsidR="002D09A9">
        <w:t>.</w:t>
      </w:r>
      <w:r>
        <w:t xml:space="preserve"> This is particularly pronounced in the non-government disability sector.</w:t>
      </w:r>
    </w:p>
    <w:p w14:paraId="2D75E2D8" w14:textId="2672245D" w:rsidR="00B50CFF" w:rsidRDefault="009D342F" w:rsidP="005366DB">
      <w:pPr>
        <w:pStyle w:val="Caption"/>
      </w:pPr>
      <w:bookmarkStart w:id="17" w:name="_Ref183699133"/>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2</w:t>
      </w:r>
      <w:r w:rsidR="0007250B" w:rsidRPr="001A77F7">
        <w:rPr>
          <w:b/>
          <w:bCs/>
          <w:noProof/>
        </w:rPr>
        <w:fldChar w:fldCharType="end"/>
      </w:r>
      <w:bookmarkEnd w:id="17"/>
      <w:r w:rsidR="00B50CFF" w:rsidRPr="00A540DC">
        <w:t xml:space="preserve"> </w:t>
      </w:r>
      <w:r w:rsidR="00B50CFF" w:rsidRPr="0023170C">
        <w:t>Operating conditions in the non-government disability sector</w:t>
      </w:r>
    </w:p>
    <w:tbl>
      <w:tblPr>
        <w:tblW w:w="9209" w:type="dxa"/>
        <w:tblLook w:val="04A0" w:firstRow="1" w:lastRow="0" w:firstColumn="1" w:lastColumn="0" w:noHBand="0" w:noVBand="1"/>
        <w:tblCaption w:val="Table 2 Operating conditions in the non-government disability sector"/>
        <w:tblDescription w:val="A table showing the operating conditions in the non-government disability sector from 2014 to 2024."/>
      </w:tblPr>
      <w:tblGrid>
        <w:gridCol w:w="1180"/>
        <w:gridCol w:w="1792"/>
        <w:gridCol w:w="1701"/>
        <w:gridCol w:w="2268"/>
        <w:gridCol w:w="2268"/>
      </w:tblGrid>
      <w:tr w:rsidR="00325C93" w:rsidRPr="00F91A85" w14:paraId="7DBDC5F0" w14:textId="77777777" w:rsidTr="00B550BF">
        <w:trPr>
          <w:trHeight w:val="393"/>
          <w:tblHeader/>
        </w:trPr>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92C4B" w14:textId="77777777" w:rsidR="00325C93" w:rsidRPr="00F91A85" w:rsidRDefault="00325C93" w:rsidP="00F91A85">
            <w:pPr>
              <w:rPr>
                <w:b/>
                <w:bCs/>
                <w:lang w:eastAsia="en-AU"/>
              </w:rPr>
            </w:pPr>
            <w:bookmarkStart w:id="18" w:name="Title_Table_2"/>
            <w:bookmarkStart w:id="19" w:name="_Ref183699228"/>
            <w:bookmarkEnd w:id="18"/>
            <w:r w:rsidRPr="00F91A85">
              <w:rPr>
                <w:b/>
                <w:bCs/>
                <w:lang w:eastAsia="en-AU"/>
              </w:rPr>
              <w:t>Year</w:t>
            </w:r>
          </w:p>
        </w:tc>
        <w:tc>
          <w:tcPr>
            <w:tcW w:w="1792" w:type="dxa"/>
            <w:tcBorders>
              <w:top w:val="single" w:sz="4" w:space="0" w:color="auto"/>
              <w:left w:val="nil"/>
              <w:bottom w:val="single" w:sz="4" w:space="0" w:color="auto"/>
              <w:right w:val="single" w:sz="4" w:space="0" w:color="auto"/>
            </w:tcBorders>
            <w:shd w:val="clear" w:color="000000" w:fill="D9D9D9"/>
            <w:vAlign w:val="center"/>
            <w:hideMark/>
          </w:tcPr>
          <w:p w14:paraId="73653A45" w14:textId="77777777" w:rsidR="00325C93" w:rsidRPr="00F91A85" w:rsidRDefault="00325C93" w:rsidP="00F91A85">
            <w:pPr>
              <w:rPr>
                <w:b/>
                <w:bCs/>
                <w:lang w:eastAsia="en-AU"/>
              </w:rPr>
            </w:pPr>
            <w:r w:rsidRPr="00F91A85">
              <w:rPr>
                <w:b/>
                <w:bCs/>
                <w:lang w:eastAsia="en-AU"/>
              </w:rPr>
              <w:t>Improved</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D79612E" w14:textId="77777777" w:rsidR="00325C93" w:rsidRPr="00F91A85" w:rsidRDefault="00325C93" w:rsidP="00F91A85">
            <w:pPr>
              <w:rPr>
                <w:b/>
                <w:bCs/>
                <w:lang w:eastAsia="en-AU"/>
              </w:rPr>
            </w:pPr>
            <w:r w:rsidRPr="00F91A85">
              <w:rPr>
                <w:b/>
                <w:bCs/>
                <w:lang w:eastAsia="en-AU"/>
              </w:rPr>
              <w:t>Worsened</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0491DBC9" w14:textId="77777777" w:rsidR="00325C93" w:rsidRPr="00F91A85" w:rsidRDefault="00325C93" w:rsidP="00F91A85">
            <w:pPr>
              <w:rPr>
                <w:b/>
                <w:bCs/>
                <w:lang w:eastAsia="en-AU"/>
              </w:rPr>
            </w:pPr>
            <w:r w:rsidRPr="00F91A85">
              <w:rPr>
                <w:b/>
                <w:bCs/>
                <w:lang w:eastAsia="en-AU"/>
              </w:rPr>
              <w:t>Trend - improved</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6AA958BA" w14:textId="77777777" w:rsidR="00325C93" w:rsidRPr="00F91A85" w:rsidRDefault="00325C93" w:rsidP="00F91A85">
            <w:pPr>
              <w:rPr>
                <w:b/>
                <w:bCs/>
                <w:lang w:eastAsia="en-AU"/>
              </w:rPr>
            </w:pPr>
            <w:r w:rsidRPr="00F91A85">
              <w:rPr>
                <w:b/>
                <w:bCs/>
                <w:lang w:eastAsia="en-AU"/>
              </w:rPr>
              <w:t>Trend - worsened</w:t>
            </w:r>
          </w:p>
        </w:tc>
      </w:tr>
      <w:tr w:rsidR="00325C93" w:rsidRPr="00DA3B86" w14:paraId="2A8DA61A"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45F776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2014</w:t>
            </w:r>
          </w:p>
        </w:tc>
        <w:tc>
          <w:tcPr>
            <w:tcW w:w="1792" w:type="dxa"/>
            <w:tcBorders>
              <w:top w:val="nil"/>
              <w:left w:val="nil"/>
              <w:bottom w:val="single" w:sz="4" w:space="0" w:color="auto"/>
              <w:right w:val="single" w:sz="4" w:space="0" w:color="auto"/>
            </w:tcBorders>
            <w:shd w:val="clear" w:color="auto" w:fill="auto"/>
            <w:noWrap/>
            <w:vAlign w:val="center"/>
            <w:hideMark/>
          </w:tcPr>
          <w:p w14:paraId="0D73B35C"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10</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2AB49249"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45</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6C5CC765"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E5A5578"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34</w:t>
            </w:r>
            <w:r>
              <w:rPr>
                <w:rFonts w:eastAsia="Times New Roman"/>
                <w:color w:val="000000"/>
                <w:kern w:val="0"/>
                <w:lang w:eastAsia="en-AU"/>
                <w14:ligatures w14:val="none"/>
              </w:rPr>
              <w:t xml:space="preserve"> per cent</w:t>
            </w:r>
          </w:p>
        </w:tc>
      </w:tr>
      <w:tr w:rsidR="00325C93" w:rsidRPr="00DA3B86" w14:paraId="63E36769"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729EE3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2015</w:t>
            </w:r>
          </w:p>
        </w:tc>
        <w:tc>
          <w:tcPr>
            <w:tcW w:w="1792" w:type="dxa"/>
            <w:tcBorders>
              <w:top w:val="nil"/>
              <w:left w:val="nil"/>
              <w:bottom w:val="single" w:sz="4" w:space="0" w:color="auto"/>
              <w:right w:val="single" w:sz="4" w:space="0" w:color="auto"/>
            </w:tcBorders>
            <w:shd w:val="clear" w:color="auto" w:fill="auto"/>
            <w:noWrap/>
            <w:vAlign w:val="center"/>
            <w:hideMark/>
          </w:tcPr>
          <w:p w14:paraId="3EA390DD"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14</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23F9379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40</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AD581E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5BE46429"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38</w:t>
            </w:r>
            <w:r>
              <w:rPr>
                <w:rFonts w:eastAsia="Times New Roman"/>
                <w:color w:val="000000"/>
                <w:kern w:val="0"/>
                <w:lang w:eastAsia="en-AU"/>
                <w14:ligatures w14:val="none"/>
              </w:rPr>
              <w:t xml:space="preserve"> per cent</w:t>
            </w:r>
          </w:p>
        </w:tc>
      </w:tr>
      <w:tr w:rsidR="00325C93" w:rsidRPr="00DA3B86" w14:paraId="1E4CE71C"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6032447"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2016</w:t>
            </w:r>
          </w:p>
        </w:tc>
        <w:tc>
          <w:tcPr>
            <w:tcW w:w="1792" w:type="dxa"/>
            <w:tcBorders>
              <w:top w:val="nil"/>
              <w:left w:val="nil"/>
              <w:bottom w:val="single" w:sz="4" w:space="0" w:color="auto"/>
              <w:right w:val="single" w:sz="4" w:space="0" w:color="auto"/>
            </w:tcBorders>
            <w:shd w:val="clear" w:color="auto" w:fill="auto"/>
            <w:noWrap/>
            <w:vAlign w:val="center"/>
            <w:hideMark/>
          </w:tcPr>
          <w:p w14:paraId="6193784E"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22</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717B313C"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36</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1E1CB007"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16</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D99BF4E"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43</w:t>
            </w:r>
            <w:r>
              <w:rPr>
                <w:rFonts w:eastAsia="Times New Roman"/>
                <w:color w:val="000000"/>
                <w:kern w:val="0"/>
                <w:lang w:eastAsia="en-AU"/>
                <w14:ligatures w14:val="none"/>
              </w:rPr>
              <w:t xml:space="preserve"> per cent</w:t>
            </w:r>
          </w:p>
        </w:tc>
      </w:tr>
      <w:tr w:rsidR="00325C93" w:rsidRPr="00DA3B86" w14:paraId="44DAF521"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4AD380"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2017</w:t>
            </w:r>
          </w:p>
        </w:tc>
        <w:tc>
          <w:tcPr>
            <w:tcW w:w="1792" w:type="dxa"/>
            <w:tcBorders>
              <w:top w:val="nil"/>
              <w:left w:val="nil"/>
              <w:bottom w:val="single" w:sz="4" w:space="0" w:color="auto"/>
              <w:right w:val="single" w:sz="4" w:space="0" w:color="auto"/>
            </w:tcBorders>
            <w:shd w:val="clear" w:color="auto" w:fill="auto"/>
            <w:noWrap/>
            <w:vAlign w:val="center"/>
            <w:hideMark/>
          </w:tcPr>
          <w:p w14:paraId="5CA07D10"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19</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13EAA50F"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46</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BCAE68D"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15</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1FB683F"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47</w:t>
            </w:r>
            <w:r>
              <w:rPr>
                <w:rFonts w:eastAsia="Times New Roman"/>
                <w:color w:val="000000"/>
                <w:kern w:val="0"/>
                <w:lang w:eastAsia="en-AU"/>
                <w14:ligatures w14:val="none"/>
              </w:rPr>
              <w:t xml:space="preserve"> per cent</w:t>
            </w:r>
          </w:p>
        </w:tc>
      </w:tr>
      <w:tr w:rsidR="00325C93" w:rsidRPr="00DA3B86" w14:paraId="6E0C7F66"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EFACE54"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2018</w:t>
            </w:r>
          </w:p>
        </w:tc>
        <w:tc>
          <w:tcPr>
            <w:tcW w:w="1792" w:type="dxa"/>
            <w:tcBorders>
              <w:top w:val="nil"/>
              <w:left w:val="nil"/>
              <w:bottom w:val="single" w:sz="4" w:space="0" w:color="auto"/>
              <w:right w:val="single" w:sz="4" w:space="0" w:color="auto"/>
            </w:tcBorders>
            <w:shd w:val="clear" w:color="auto" w:fill="auto"/>
            <w:noWrap/>
            <w:vAlign w:val="center"/>
            <w:hideMark/>
          </w:tcPr>
          <w:p w14:paraId="16CA301B"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11</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5A42923"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55</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65CB1FCB"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14</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C8FA728"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51</w:t>
            </w:r>
            <w:r>
              <w:rPr>
                <w:rFonts w:eastAsia="Times New Roman"/>
                <w:color w:val="000000"/>
                <w:kern w:val="0"/>
                <w:lang w:eastAsia="en-AU"/>
                <w14:ligatures w14:val="none"/>
              </w:rPr>
              <w:t xml:space="preserve"> per cent</w:t>
            </w:r>
          </w:p>
        </w:tc>
      </w:tr>
      <w:tr w:rsidR="00325C93" w:rsidRPr="00DA3B86" w14:paraId="18C56BE9"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0804C09"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2019</w:t>
            </w:r>
          </w:p>
        </w:tc>
        <w:tc>
          <w:tcPr>
            <w:tcW w:w="1792" w:type="dxa"/>
            <w:tcBorders>
              <w:top w:val="nil"/>
              <w:left w:val="nil"/>
              <w:bottom w:val="single" w:sz="4" w:space="0" w:color="auto"/>
              <w:right w:val="single" w:sz="4" w:space="0" w:color="auto"/>
            </w:tcBorders>
            <w:shd w:val="clear" w:color="auto" w:fill="auto"/>
            <w:noWrap/>
            <w:vAlign w:val="center"/>
            <w:hideMark/>
          </w:tcPr>
          <w:p w14:paraId="04F1E956"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22</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4F9149A7"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38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13C37B77"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12</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D64380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55</w:t>
            </w:r>
            <w:r>
              <w:rPr>
                <w:rFonts w:eastAsia="Times New Roman"/>
                <w:color w:val="000000"/>
                <w:kern w:val="0"/>
                <w:lang w:eastAsia="en-AU"/>
                <w14:ligatures w14:val="none"/>
              </w:rPr>
              <w:t xml:space="preserve"> per cent</w:t>
            </w:r>
          </w:p>
        </w:tc>
      </w:tr>
      <w:tr w:rsidR="00325C93" w:rsidRPr="00DA3B86" w14:paraId="24184DF3"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C9928C"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2020</w:t>
            </w:r>
          </w:p>
        </w:tc>
        <w:tc>
          <w:tcPr>
            <w:tcW w:w="1792" w:type="dxa"/>
            <w:tcBorders>
              <w:top w:val="nil"/>
              <w:left w:val="nil"/>
              <w:bottom w:val="single" w:sz="4" w:space="0" w:color="auto"/>
              <w:right w:val="single" w:sz="4" w:space="0" w:color="auto"/>
            </w:tcBorders>
            <w:shd w:val="clear" w:color="auto" w:fill="auto"/>
            <w:noWrap/>
            <w:vAlign w:val="center"/>
            <w:hideMark/>
          </w:tcPr>
          <w:p w14:paraId="1807FAF3"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12</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0532F9F2"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61</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0FAB7F33"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11</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13B898A"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60</w:t>
            </w:r>
            <w:r>
              <w:rPr>
                <w:rFonts w:eastAsia="Times New Roman"/>
                <w:color w:val="000000"/>
                <w:kern w:val="0"/>
                <w:lang w:eastAsia="en-AU"/>
                <w14:ligatures w14:val="none"/>
              </w:rPr>
              <w:t xml:space="preserve"> per cent</w:t>
            </w:r>
          </w:p>
        </w:tc>
      </w:tr>
      <w:tr w:rsidR="00325C93" w:rsidRPr="00DA3B86" w14:paraId="1D9A16DF"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3731C72"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2021</w:t>
            </w:r>
          </w:p>
        </w:tc>
        <w:tc>
          <w:tcPr>
            <w:tcW w:w="1792" w:type="dxa"/>
            <w:tcBorders>
              <w:top w:val="nil"/>
              <w:left w:val="nil"/>
              <w:bottom w:val="single" w:sz="4" w:space="0" w:color="auto"/>
              <w:right w:val="single" w:sz="4" w:space="0" w:color="auto"/>
            </w:tcBorders>
            <w:shd w:val="clear" w:color="auto" w:fill="auto"/>
            <w:noWrap/>
            <w:vAlign w:val="center"/>
            <w:hideMark/>
          </w:tcPr>
          <w:p w14:paraId="021731F6"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9</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4EE45719"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65</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8EE44C9"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10</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57D1904F"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64</w:t>
            </w:r>
            <w:r>
              <w:rPr>
                <w:rFonts w:eastAsia="Times New Roman"/>
                <w:color w:val="000000"/>
                <w:kern w:val="0"/>
                <w:lang w:eastAsia="en-AU"/>
                <w14:ligatures w14:val="none"/>
              </w:rPr>
              <w:t xml:space="preserve"> per cent</w:t>
            </w:r>
          </w:p>
        </w:tc>
      </w:tr>
      <w:tr w:rsidR="00325C93" w:rsidRPr="00DA3B86" w14:paraId="3629C39F"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B6C1944"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2022</w:t>
            </w:r>
          </w:p>
        </w:tc>
        <w:tc>
          <w:tcPr>
            <w:tcW w:w="1792" w:type="dxa"/>
            <w:tcBorders>
              <w:top w:val="nil"/>
              <w:left w:val="nil"/>
              <w:bottom w:val="single" w:sz="4" w:space="0" w:color="auto"/>
              <w:right w:val="single" w:sz="4" w:space="0" w:color="auto"/>
            </w:tcBorders>
            <w:shd w:val="clear" w:color="auto" w:fill="auto"/>
            <w:noWrap/>
            <w:vAlign w:val="center"/>
            <w:hideMark/>
          </w:tcPr>
          <w:p w14:paraId="3D121EA5"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8</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7B2E6AB7"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EC0F953"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9</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0C29AEF6"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68</w:t>
            </w:r>
            <w:r>
              <w:rPr>
                <w:rFonts w:eastAsia="Times New Roman"/>
                <w:color w:val="000000"/>
                <w:kern w:val="0"/>
                <w:lang w:eastAsia="en-AU"/>
                <w14:ligatures w14:val="none"/>
              </w:rPr>
              <w:t xml:space="preserve"> per cent</w:t>
            </w:r>
          </w:p>
        </w:tc>
      </w:tr>
      <w:tr w:rsidR="00325C93" w:rsidRPr="00DA3B86" w14:paraId="2FD10CD9"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4283B3"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2023</w:t>
            </w:r>
          </w:p>
        </w:tc>
        <w:tc>
          <w:tcPr>
            <w:tcW w:w="1792" w:type="dxa"/>
            <w:tcBorders>
              <w:top w:val="nil"/>
              <w:left w:val="nil"/>
              <w:bottom w:val="single" w:sz="4" w:space="0" w:color="auto"/>
              <w:right w:val="single" w:sz="4" w:space="0" w:color="auto"/>
            </w:tcBorders>
            <w:shd w:val="clear" w:color="auto" w:fill="auto"/>
            <w:noWrap/>
            <w:vAlign w:val="center"/>
            <w:hideMark/>
          </w:tcPr>
          <w:p w14:paraId="41C35B2B"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8</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7E8D653F"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70</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11721FEB"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623F41ED"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73</w:t>
            </w:r>
            <w:r>
              <w:rPr>
                <w:rFonts w:eastAsia="Times New Roman"/>
                <w:color w:val="000000"/>
                <w:kern w:val="0"/>
                <w:lang w:eastAsia="en-AU"/>
                <w14:ligatures w14:val="none"/>
              </w:rPr>
              <w:t xml:space="preserve"> per cent</w:t>
            </w:r>
          </w:p>
        </w:tc>
      </w:tr>
      <w:tr w:rsidR="00325C93" w:rsidRPr="00DA3B86" w14:paraId="5AD679D1"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1E69BF4"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2024</w:t>
            </w:r>
          </w:p>
        </w:tc>
        <w:tc>
          <w:tcPr>
            <w:tcW w:w="1792" w:type="dxa"/>
            <w:tcBorders>
              <w:top w:val="nil"/>
              <w:left w:val="nil"/>
              <w:bottom w:val="single" w:sz="4" w:space="0" w:color="auto"/>
              <w:right w:val="single" w:sz="4" w:space="0" w:color="auto"/>
            </w:tcBorders>
            <w:shd w:val="clear" w:color="auto" w:fill="auto"/>
            <w:noWrap/>
            <w:vAlign w:val="center"/>
            <w:hideMark/>
          </w:tcPr>
          <w:p w14:paraId="06F99F2F"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1</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315C82C1"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88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510E4D2"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6</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4271828" w14:textId="77777777" w:rsidR="00325C93" w:rsidRPr="00DA3B86" w:rsidRDefault="00325C93" w:rsidP="00B550BF">
            <w:pPr>
              <w:rPr>
                <w:rFonts w:eastAsia="Times New Roman"/>
                <w:color w:val="000000"/>
                <w:kern w:val="0"/>
                <w:lang w:eastAsia="en-AU"/>
                <w14:ligatures w14:val="none"/>
              </w:rPr>
            </w:pPr>
            <w:r w:rsidRPr="00DA3B86">
              <w:rPr>
                <w:rFonts w:eastAsia="Times New Roman"/>
                <w:color w:val="000000"/>
                <w:kern w:val="0"/>
                <w:lang w:eastAsia="en-AU"/>
                <w14:ligatures w14:val="none"/>
              </w:rPr>
              <w:t>77</w:t>
            </w:r>
            <w:r>
              <w:rPr>
                <w:rFonts w:eastAsia="Times New Roman"/>
                <w:color w:val="000000"/>
                <w:kern w:val="0"/>
                <w:lang w:eastAsia="en-AU"/>
                <w14:ligatures w14:val="none"/>
              </w:rPr>
              <w:t xml:space="preserve"> per cent</w:t>
            </w:r>
          </w:p>
        </w:tc>
      </w:tr>
    </w:tbl>
    <w:p w14:paraId="4422817A" w14:textId="6270A249" w:rsidR="00B50CFF" w:rsidRDefault="009D342F" w:rsidP="005366DB">
      <w:pPr>
        <w:pStyle w:val="Caption"/>
      </w:pPr>
      <w:r w:rsidRPr="001A77F7">
        <w:rPr>
          <w:b/>
          <w:bCs/>
        </w:rPr>
        <w:lastRenderedPageBreak/>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3</w:t>
      </w:r>
      <w:r w:rsidR="0007250B" w:rsidRPr="001A77F7">
        <w:rPr>
          <w:b/>
          <w:bCs/>
          <w:noProof/>
        </w:rPr>
        <w:fldChar w:fldCharType="end"/>
      </w:r>
      <w:bookmarkEnd w:id="19"/>
      <w:r w:rsidR="00B50CFF">
        <w:t xml:space="preserve"> </w:t>
      </w:r>
      <w:r w:rsidR="00B50CFF" w:rsidRPr="0023170C">
        <w:t>Operating conditions in the wider Australian economy</w:t>
      </w:r>
    </w:p>
    <w:tbl>
      <w:tblPr>
        <w:tblW w:w="9209" w:type="dxa"/>
        <w:tblLook w:val="04A0" w:firstRow="1" w:lastRow="0" w:firstColumn="1" w:lastColumn="0" w:noHBand="0" w:noVBand="1"/>
        <w:tblCaption w:val="Table 3 Operating conditions in the wider Australian economy"/>
        <w:tblDescription w:val="A table showing the operating conditions in the wider Australian economy from 2014 to 2024."/>
      </w:tblPr>
      <w:tblGrid>
        <w:gridCol w:w="1180"/>
        <w:gridCol w:w="1792"/>
        <w:gridCol w:w="1701"/>
        <w:gridCol w:w="2268"/>
        <w:gridCol w:w="2268"/>
      </w:tblGrid>
      <w:tr w:rsidR="00A072AD" w:rsidRPr="00B550BF" w14:paraId="2870B619" w14:textId="77777777" w:rsidTr="00B550BF">
        <w:trPr>
          <w:trHeight w:val="431"/>
          <w:tblHeader/>
        </w:trPr>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EF580C" w14:textId="77777777" w:rsidR="00A072AD" w:rsidRPr="00B550BF" w:rsidRDefault="00A072AD" w:rsidP="00B550BF">
            <w:pPr>
              <w:rPr>
                <w:b/>
                <w:bCs/>
                <w:lang w:eastAsia="en-AU"/>
              </w:rPr>
            </w:pPr>
            <w:bookmarkStart w:id="20" w:name="Title_Table_3"/>
            <w:bookmarkEnd w:id="20"/>
            <w:r w:rsidRPr="00B550BF">
              <w:rPr>
                <w:b/>
                <w:bCs/>
                <w:lang w:eastAsia="en-AU"/>
              </w:rPr>
              <w:t>Year</w:t>
            </w:r>
          </w:p>
        </w:tc>
        <w:tc>
          <w:tcPr>
            <w:tcW w:w="1792" w:type="dxa"/>
            <w:tcBorders>
              <w:top w:val="single" w:sz="4" w:space="0" w:color="auto"/>
              <w:left w:val="nil"/>
              <w:bottom w:val="single" w:sz="4" w:space="0" w:color="auto"/>
              <w:right w:val="single" w:sz="4" w:space="0" w:color="auto"/>
            </w:tcBorders>
            <w:shd w:val="clear" w:color="000000" w:fill="D9D9D9"/>
            <w:noWrap/>
            <w:vAlign w:val="center"/>
            <w:hideMark/>
          </w:tcPr>
          <w:p w14:paraId="6E11BF64" w14:textId="77777777" w:rsidR="00A072AD" w:rsidRPr="00B550BF" w:rsidRDefault="00A072AD" w:rsidP="00B550BF">
            <w:pPr>
              <w:rPr>
                <w:b/>
                <w:bCs/>
                <w:lang w:eastAsia="en-AU"/>
              </w:rPr>
            </w:pPr>
            <w:r w:rsidRPr="00B550BF">
              <w:rPr>
                <w:b/>
                <w:bCs/>
                <w:lang w:eastAsia="en-AU"/>
              </w:rPr>
              <w:t>Improved</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39E8430F" w14:textId="77777777" w:rsidR="00A072AD" w:rsidRPr="00B550BF" w:rsidRDefault="00A072AD" w:rsidP="00B550BF">
            <w:pPr>
              <w:rPr>
                <w:b/>
                <w:bCs/>
                <w:lang w:eastAsia="en-AU"/>
              </w:rPr>
            </w:pPr>
            <w:r w:rsidRPr="00B550BF">
              <w:rPr>
                <w:b/>
                <w:bCs/>
                <w:lang w:eastAsia="en-AU"/>
              </w:rPr>
              <w:t>Worsened</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1E61674D" w14:textId="77777777" w:rsidR="00A072AD" w:rsidRPr="00B550BF" w:rsidRDefault="00A072AD" w:rsidP="00B550BF">
            <w:pPr>
              <w:rPr>
                <w:b/>
                <w:bCs/>
                <w:lang w:eastAsia="en-AU"/>
              </w:rPr>
            </w:pPr>
            <w:r w:rsidRPr="00B550BF">
              <w:rPr>
                <w:b/>
                <w:bCs/>
                <w:lang w:eastAsia="en-AU"/>
              </w:rPr>
              <w:t>Trend - improved</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19C4A814" w14:textId="77777777" w:rsidR="00A072AD" w:rsidRPr="00B550BF" w:rsidRDefault="00A072AD" w:rsidP="00B550BF">
            <w:pPr>
              <w:rPr>
                <w:b/>
                <w:bCs/>
                <w:lang w:eastAsia="en-AU"/>
              </w:rPr>
            </w:pPr>
            <w:r w:rsidRPr="00B550BF">
              <w:rPr>
                <w:b/>
                <w:bCs/>
                <w:lang w:eastAsia="en-AU"/>
              </w:rPr>
              <w:t>Trend - worsened</w:t>
            </w:r>
          </w:p>
        </w:tc>
      </w:tr>
      <w:tr w:rsidR="00A072AD" w:rsidRPr="00AB2511" w14:paraId="543F1B39"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06A4B8"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2014</w:t>
            </w:r>
          </w:p>
        </w:tc>
        <w:tc>
          <w:tcPr>
            <w:tcW w:w="1792" w:type="dxa"/>
            <w:tcBorders>
              <w:top w:val="nil"/>
              <w:left w:val="nil"/>
              <w:bottom w:val="single" w:sz="4" w:space="0" w:color="auto"/>
              <w:right w:val="single" w:sz="4" w:space="0" w:color="auto"/>
            </w:tcBorders>
            <w:shd w:val="clear" w:color="auto" w:fill="auto"/>
            <w:noWrap/>
            <w:vAlign w:val="center"/>
            <w:hideMark/>
          </w:tcPr>
          <w:p w14:paraId="24E9CCD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3863E4BE"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39</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6B4B0CEF"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13</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93C2AB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25</w:t>
            </w:r>
            <w:r>
              <w:rPr>
                <w:rFonts w:eastAsia="Times New Roman"/>
                <w:color w:val="000000"/>
                <w:kern w:val="0"/>
                <w:lang w:eastAsia="en-AU"/>
                <w14:ligatures w14:val="none"/>
              </w:rPr>
              <w:t xml:space="preserve"> per cent</w:t>
            </w:r>
          </w:p>
        </w:tc>
      </w:tr>
      <w:tr w:rsidR="00A072AD" w:rsidRPr="00AB2511" w14:paraId="2CD18FAA"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4043FC3"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2015</w:t>
            </w:r>
          </w:p>
        </w:tc>
        <w:tc>
          <w:tcPr>
            <w:tcW w:w="1792" w:type="dxa"/>
            <w:tcBorders>
              <w:top w:val="nil"/>
              <w:left w:val="nil"/>
              <w:bottom w:val="single" w:sz="4" w:space="0" w:color="auto"/>
              <w:right w:val="single" w:sz="4" w:space="0" w:color="auto"/>
            </w:tcBorders>
            <w:shd w:val="clear" w:color="auto" w:fill="auto"/>
            <w:noWrap/>
            <w:vAlign w:val="center"/>
            <w:hideMark/>
          </w:tcPr>
          <w:p w14:paraId="020EDE75"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0F78CDFA"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47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882AE6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12</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868F025"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30</w:t>
            </w:r>
            <w:r>
              <w:rPr>
                <w:rFonts w:eastAsia="Times New Roman"/>
                <w:color w:val="000000"/>
                <w:kern w:val="0"/>
                <w:lang w:eastAsia="en-AU"/>
                <w14:ligatures w14:val="none"/>
              </w:rPr>
              <w:t xml:space="preserve"> per cent</w:t>
            </w:r>
          </w:p>
        </w:tc>
      </w:tr>
      <w:tr w:rsidR="00A072AD" w:rsidRPr="00AB2511" w14:paraId="3B817119"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E81268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2016</w:t>
            </w:r>
          </w:p>
        </w:tc>
        <w:tc>
          <w:tcPr>
            <w:tcW w:w="1792" w:type="dxa"/>
            <w:tcBorders>
              <w:top w:val="nil"/>
              <w:left w:val="nil"/>
              <w:bottom w:val="single" w:sz="4" w:space="0" w:color="auto"/>
              <w:right w:val="single" w:sz="4" w:space="0" w:color="auto"/>
            </w:tcBorders>
            <w:shd w:val="clear" w:color="auto" w:fill="auto"/>
            <w:noWrap/>
            <w:vAlign w:val="center"/>
            <w:hideMark/>
          </w:tcPr>
          <w:p w14:paraId="3BAFE49B"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13</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5E1E6F2"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23</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665CD8C"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12</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A8B427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34</w:t>
            </w:r>
            <w:r>
              <w:rPr>
                <w:rFonts w:eastAsia="Times New Roman"/>
                <w:color w:val="000000"/>
                <w:kern w:val="0"/>
                <w:lang w:eastAsia="en-AU"/>
                <w14:ligatures w14:val="none"/>
              </w:rPr>
              <w:t xml:space="preserve"> per cent</w:t>
            </w:r>
          </w:p>
        </w:tc>
      </w:tr>
      <w:tr w:rsidR="00A072AD" w:rsidRPr="00AB2511" w14:paraId="528781EB"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FDCA9D1"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2017</w:t>
            </w:r>
          </w:p>
        </w:tc>
        <w:tc>
          <w:tcPr>
            <w:tcW w:w="1792" w:type="dxa"/>
            <w:tcBorders>
              <w:top w:val="nil"/>
              <w:left w:val="nil"/>
              <w:bottom w:val="single" w:sz="4" w:space="0" w:color="auto"/>
              <w:right w:val="single" w:sz="4" w:space="0" w:color="auto"/>
            </w:tcBorders>
            <w:shd w:val="clear" w:color="auto" w:fill="auto"/>
            <w:noWrap/>
            <w:vAlign w:val="center"/>
            <w:hideMark/>
          </w:tcPr>
          <w:p w14:paraId="7F6B99AE"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18</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5DF391A2"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26</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6426E391"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11</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2F52B3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39</w:t>
            </w:r>
            <w:r>
              <w:rPr>
                <w:rFonts w:eastAsia="Times New Roman"/>
                <w:color w:val="000000"/>
                <w:kern w:val="0"/>
                <w:lang w:eastAsia="en-AU"/>
                <w14:ligatures w14:val="none"/>
              </w:rPr>
              <w:t xml:space="preserve"> per cent</w:t>
            </w:r>
          </w:p>
        </w:tc>
      </w:tr>
      <w:tr w:rsidR="00A072AD" w:rsidRPr="00AB2511" w14:paraId="637E95B4"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90034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2018</w:t>
            </w:r>
          </w:p>
        </w:tc>
        <w:tc>
          <w:tcPr>
            <w:tcW w:w="1792" w:type="dxa"/>
            <w:tcBorders>
              <w:top w:val="nil"/>
              <w:left w:val="nil"/>
              <w:bottom w:val="single" w:sz="4" w:space="0" w:color="auto"/>
              <w:right w:val="single" w:sz="4" w:space="0" w:color="auto"/>
            </w:tcBorders>
            <w:shd w:val="clear" w:color="auto" w:fill="auto"/>
            <w:noWrap/>
            <w:vAlign w:val="center"/>
            <w:hideMark/>
          </w:tcPr>
          <w:p w14:paraId="36DA1AF3"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18</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848AE8C"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25</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75D1BA2"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10</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59F9E978"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44</w:t>
            </w:r>
            <w:r>
              <w:rPr>
                <w:rFonts w:eastAsia="Times New Roman"/>
                <w:color w:val="000000"/>
                <w:kern w:val="0"/>
                <w:lang w:eastAsia="en-AU"/>
                <w14:ligatures w14:val="none"/>
              </w:rPr>
              <w:t xml:space="preserve"> per cent</w:t>
            </w:r>
          </w:p>
        </w:tc>
      </w:tr>
      <w:tr w:rsidR="00A072AD" w:rsidRPr="00AB2511" w14:paraId="37D3654F"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A4216ED"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2019</w:t>
            </w:r>
          </w:p>
        </w:tc>
        <w:tc>
          <w:tcPr>
            <w:tcW w:w="1792" w:type="dxa"/>
            <w:tcBorders>
              <w:top w:val="nil"/>
              <w:left w:val="nil"/>
              <w:bottom w:val="single" w:sz="4" w:space="0" w:color="auto"/>
              <w:right w:val="single" w:sz="4" w:space="0" w:color="auto"/>
            </w:tcBorders>
            <w:shd w:val="clear" w:color="auto" w:fill="auto"/>
            <w:noWrap/>
            <w:vAlign w:val="center"/>
            <w:hideMark/>
          </w:tcPr>
          <w:p w14:paraId="2476313B"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14</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54B6193"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29</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17EB26A3"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10</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335F3B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48</w:t>
            </w:r>
            <w:r>
              <w:rPr>
                <w:rFonts w:eastAsia="Times New Roman"/>
                <w:color w:val="000000"/>
                <w:kern w:val="0"/>
                <w:lang w:eastAsia="en-AU"/>
                <w14:ligatures w14:val="none"/>
              </w:rPr>
              <w:t xml:space="preserve"> per cent</w:t>
            </w:r>
          </w:p>
        </w:tc>
      </w:tr>
      <w:tr w:rsidR="00A072AD" w:rsidRPr="00AB2511" w14:paraId="089FA2C7"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3E25985"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2020</w:t>
            </w:r>
          </w:p>
        </w:tc>
        <w:tc>
          <w:tcPr>
            <w:tcW w:w="1792" w:type="dxa"/>
            <w:tcBorders>
              <w:top w:val="nil"/>
              <w:left w:val="nil"/>
              <w:bottom w:val="single" w:sz="4" w:space="0" w:color="auto"/>
              <w:right w:val="single" w:sz="4" w:space="0" w:color="auto"/>
            </w:tcBorders>
            <w:shd w:val="clear" w:color="auto" w:fill="auto"/>
            <w:noWrap/>
            <w:vAlign w:val="center"/>
            <w:hideMark/>
          </w:tcPr>
          <w:p w14:paraId="5D912AA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5</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251DC1ED"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74</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01A56D9B"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9</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26A71E1"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53</w:t>
            </w:r>
            <w:r>
              <w:rPr>
                <w:rFonts w:eastAsia="Times New Roman"/>
                <w:color w:val="000000"/>
                <w:kern w:val="0"/>
                <w:lang w:eastAsia="en-AU"/>
                <w14:ligatures w14:val="none"/>
              </w:rPr>
              <w:t xml:space="preserve"> per cent</w:t>
            </w:r>
          </w:p>
        </w:tc>
      </w:tr>
      <w:tr w:rsidR="00A072AD" w:rsidRPr="00AB2511" w14:paraId="3F6C2A2E"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F3469A8"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2021</w:t>
            </w:r>
          </w:p>
        </w:tc>
        <w:tc>
          <w:tcPr>
            <w:tcW w:w="1792" w:type="dxa"/>
            <w:tcBorders>
              <w:top w:val="nil"/>
              <w:left w:val="nil"/>
              <w:bottom w:val="single" w:sz="4" w:space="0" w:color="auto"/>
              <w:right w:val="single" w:sz="4" w:space="0" w:color="auto"/>
            </w:tcBorders>
            <w:shd w:val="clear" w:color="auto" w:fill="auto"/>
            <w:noWrap/>
            <w:vAlign w:val="center"/>
            <w:hideMark/>
          </w:tcPr>
          <w:p w14:paraId="48C6492B"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11</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79F1C94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58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BC31CF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9</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173AA22C"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57</w:t>
            </w:r>
            <w:r>
              <w:rPr>
                <w:rFonts w:eastAsia="Times New Roman"/>
                <w:color w:val="000000"/>
                <w:kern w:val="0"/>
                <w:lang w:eastAsia="en-AU"/>
                <w14:ligatures w14:val="none"/>
              </w:rPr>
              <w:t xml:space="preserve"> per cent</w:t>
            </w:r>
          </w:p>
        </w:tc>
      </w:tr>
      <w:tr w:rsidR="00A072AD" w:rsidRPr="00AB2511" w14:paraId="043BDA81"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9B0965"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2022</w:t>
            </w:r>
          </w:p>
        </w:tc>
        <w:tc>
          <w:tcPr>
            <w:tcW w:w="1792" w:type="dxa"/>
            <w:tcBorders>
              <w:top w:val="nil"/>
              <w:left w:val="nil"/>
              <w:bottom w:val="single" w:sz="4" w:space="0" w:color="auto"/>
              <w:right w:val="single" w:sz="4" w:space="0" w:color="auto"/>
            </w:tcBorders>
            <w:shd w:val="clear" w:color="auto" w:fill="auto"/>
            <w:noWrap/>
            <w:vAlign w:val="center"/>
            <w:hideMark/>
          </w:tcPr>
          <w:p w14:paraId="5DC423A2"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4897E3AE"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67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06065E49"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3D5BC25A"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62</w:t>
            </w:r>
            <w:r>
              <w:rPr>
                <w:rFonts w:eastAsia="Times New Roman"/>
                <w:color w:val="000000"/>
                <w:kern w:val="0"/>
                <w:lang w:eastAsia="en-AU"/>
                <w14:ligatures w14:val="none"/>
              </w:rPr>
              <w:t xml:space="preserve"> per cent</w:t>
            </w:r>
          </w:p>
        </w:tc>
      </w:tr>
      <w:tr w:rsidR="00A072AD" w:rsidRPr="00AB2511" w14:paraId="240E8A2B"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3A383F"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2023</w:t>
            </w:r>
          </w:p>
        </w:tc>
        <w:tc>
          <w:tcPr>
            <w:tcW w:w="1792" w:type="dxa"/>
            <w:tcBorders>
              <w:top w:val="nil"/>
              <w:left w:val="nil"/>
              <w:bottom w:val="single" w:sz="4" w:space="0" w:color="auto"/>
              <w:right w:val="single" w:sz="4" w:space="0" w:color="auto"/>
            </w:tcBorders>
            <w:shd w:val="clear" w:color="auto" w:fill="auto"/>
            <w:noWrap/>
            <w:vAlign w:val="center"/>
            <w:hideMark/>
          </w:tcPr>
          <w:p w14:paraId="5F8C70E6"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29D4013F"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68</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4540919F"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591F6264"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66</w:t>
            </w:r>
            <w:r>
              <w:rPr>
                <w:rFonts w:eastAsia="Times New Roman"/>
                <w:color w:val="000000"/>
                <w:kern w:val="0"/>
                <w:lang w:eastAsia="en-AU"/>
                <w14:ligatures w14:val="none"/>
              </w:rPr>
              <w:t xml:space="preserve"> per cent</w:t>
            </w:r>
          </w:p>
        </w:tc>
      </w:tr>
      <w:tr w:rsidR="00A072AD" w:rsidRPr="00AB2511" w14:paraId="4BD6621E" w14:textId="77777777" w:rsidTr="000A7E14">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CD7666A"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2024</w:t>
            </w:r>
          </w:p>
        </w:tc>
        <w:tc>
          <w:tcPr>
            <w:tcW w:w="1792" w:type="dxa"/>
            <w:tcBorders>
              <w:top w:val="nil"/>
              <w:left w:val="nil"/>
              <w:bottom w:val="single" w:sz="4" w:space="0" w:color="auto"/>
              <w:right w:val="single" w:sz="4" w:space="0" w:color="auto"/>
            </w:tcBorders>
            <w:shd w:val="clear" w:color="auto" w:fill="auto"/>
            <w:noWrap/>
            <w:vAlign w:val="center"/>
            <w:hideMark/>
          </w:tcPr>
          <w:p w14:paraId="4E80E5B2"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2</w:t>
            </w:r>
            <w:r>
              <w:rPr>
                <w:rFonts w:eastAsia="Times New Roman"/>
                <w:color w:val="000000"/>
                <w:kern w:val="0"/>
                <w:lang w:eastAsia="en-AU"/>
                <w14:ligatures w14:val="none"/>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41F8BACD"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73</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7E231BD7"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c>
          <w:tcPr>
            <w:tcW w:w="2268" w:type="dxa"/>
            <w:tcBorders>
              <w:top w:val="nil"/>
              <w:left w:val="nil"/>
              <w:bottom w:val="single" w:sz="4" w:space="0" w:color="auto"/>
              <w:right w:val="single" w:sz="4" w:space="0" w:color="auto"/>
            </w:tcBorders>
            <w:shd w:val="clear" w:color="auto" w:fill="auto"/>
            <w:noWrap/>
            <w:vAlign w:val="center"/>
            <w:hideMark/>
          </w:tcPr>
          <w:p w14:paraId="23F0115A" w14:textId="77777777" w:rsidR="00A072AD" w:rsidRPr="00AB2511" w:rsidRDefault="00A072AD" w:rsidP="00B550BF">
            <w:pPr>
              <w:rPr>
                <w:rFonts w:eastAsia="Times New Roman"/>
                <w:color w:val="000000"/>
                <w:kern w:val="0"/>
                <w:lang w:eastAsia="en-AU"/>
                <w14:ligatures w14:val="none"/>
              </w:rPr>
            </w:pPr>
            <w:r w:rsidRPr="00AB2511">
              <w:rPr>
                <w:rFonts w:eastAsia="Times New Roman"/>
                <w:color w:val="000000"/>
                <w:kern w:val="0"/>
                <w:lang w:eastAsia="en-AU"/>
                <w14:ligatures w14:val="none"/>
              </w:rPr>
              <w:t>71</w:t>
            </w:r>
            <w:r>
              <w:rPr>
                <w:rFonts w:eastAsia="Times New Roman"/>
                <w:color w:val="000000"/>
                <w:kern w:val="0"/>
                <w:lang w:eastAsia="en-AU"/>
                <w14:ligatures w14:val="none"/>
              </w:rPr>
              <w:t xml:space="preserve"> per cent</w:t>
            </w:r>
          </w:p>
        </w:tc>
      </w:tr>
    </w:tbl>
    <w:p w14:paraId="24F9BEED" w14:textId="1F986443" w:rsidR="00B021DF" w:rsidRPr="00620176" w:rsidRDefault="00B021DF" w:rsidP="00A072AD">
      <w:pPr>
        <w:pStyle w:val="NormalFirstAfterTable"/>
        <w:rPr>
          <w:rFonts w:eastAsiaTheme="minorEastAsia"/>
        </w:rPr>
      </w:pPr>
      <w:r>
        <w:t xml:space="preserve">We asked respondents for further comments about the operating environment, disability sector, or actions by the Commonwealth or their </w:t>
      </w:r>
      <w:r w:rsidR="00141413">
        <w:t>s</w:t>
      </w:r>
      <w:r>
        <w:t xml:space="preserve">tate </w:t>
      </w:r>
      <w:r w:rsidR="00866A3C">
        <w:t>g</w:t>
      </w:r>
      <w:r>
        <w:t>overnment's support of disability services in the last 12 months. In these free-text responses, respondents expressed concerns about pricing and funding-related issues:</w:t>
      </w:r>
    </w:p>
    <w:p w14:paraId="1C1E49F0" w14:textId="77777777" w:rsidR="00B021DF" w:rsidRPr="00620176" w:rsidRDefault="00B021DF" w:rsidP="00806653">
      <w:pPr>
        <w:pStyle w:val="Quote"/>
      </w:pPr>
      <w:r w:rsidRPr="3AB0BEA5">
        <w:t>“Price settings are creating a race to the bottom. The only way to remain viable is to compromise quality.”</w:t>
      </w:r>
    </w:p>
    <w:p w14:paraId="4FF8B3EF" w14:textId="77777777" w:rsidR="004316F3" w:rsidRPr="00806653" w:rsidRDefault="00B021DF" w:rsidP="00C44004">
      <w:pPr>
        <w:pStyle w:val="QuoteAuthor"/>
      </w:pPr>
      <w:r w:rsidRPr="00806653">
        <w:t>NSW medium not-for profit</w:t>
      </w:r>
    </w:p>
    <w:p w14:paraId="4737F8ED" w14:textId="76024407" w:rsidR="00B021DF" w:rsidRPr="00620176" w:rsidRDefault="00B021DF" w:rsidP="00806653">
      <w:pPr>
        <w:pStyle w:val="Quote"/>
      </w:pPr>
      <w:r w:rsidRPr="67293ABD">
        <w:t xml:space="preserve">“The omission of a price increase for the Intermediary services in the last </w:t>
      </w:r>
      <w:r w:rsidRPr="66F6595D">
        <w:t>two</w:t>
      </w:r>
      <w:r w:rsidRPr="67293ABD">
        <w:t xml:space="preserve"> years is destroying our business.”</w:t>
      </w:r>
    </w:p>
    <w:p w14:paraId="54462AA6" w14:textId="77777777" w:rsidR="004316F3" w:rsidRPr="00806653" w:rsidRDefault="00B021DF" w:rsidP="00C44004">
      <w:pPr>
        <w:pStyle w:val="QuoteAuthor"/>
      </w:pPr>
      <w:r w:rsidRPr="00806653">
        <w:t>NSW very small for-profit</w:t>
      </w:r>
    </w:p>
    <w:p w14:paraId="728D5515" w14:textId="51D0D9F3" w:rsidR="00B021DF" w:rsidRPr="00620176" w:rsidRDefault="00B021DF" w:rsidP="00806653">
      <w:pPr>
        <w:pStyle w:val="Quote"/>
      </w:pPr>
      <w:r w:rsidRPr="67293ABD">
        <w:t>“The current pricing model is now and has been unsustainable for several years.”</w:t>
      </w:r>
    </w:p>
    <w:p w14:paraId="26E92A8A" w14:textId="77777777" w:rsidR="004316F3" w:rsidRPr="00806653" w:rsidRDefault="00B021DF" w:rsidP="00C44004">
      <w:pPr>
        <w:pStyle w:val="QuoteAuthor"/>
      </w:pPr>
      <w:r w:rsidRPr="00806653">
        <w:t>V</w:t>
      </w:r>
      <w:r w:rsidR="0005004A" w:rsidRPr="00806653">
        <w:t>ic</w:t>
      </w:r>
      <w:r w:rsidRPr="00806653">
        <w:t xml:space="preserve"> small not-for-profit</w:t>
      </w:r>
    </w:p>
    <w:p w14:paraId="653D2B8C" w14:textId="131BA72D" w:rsidR="00B021DF" w:rsidRPr="00620176" w:rsidRDefault="00B021DF" w:rsidP="0097062A">
      <w:r w:rsidRPr="00620176">
        <w:lastRenderedPageBreak/>
        <w:t>Respondents often described the operating environment as confusing, uncertain and complicated:</w:t>
      </w:r>
    </w:p>
    <w:p w14:paraId="76BC7D70" w14:textId="77777777" w:rsidR="00B021DF" w:rsidRPr="00C44004" w:rsidRDefault="00B021DF" w:rsidP="00C44004">
      <w:pPr>
        <w:pStyle w:val="Quote"/>
      </w:pPr>
      <w:r w:rsidRPr="00C44004">
        <w:t>“The level of confusion in the sector is unsustainable.”</w:t>
      </w:r>
    </w:p>
    <w:p w14:paraId="02855135" w14:textId="35A9ECFC" w:rsidR="00B021DF" w:rsidRPr="00C44004" w:rsidRDefault="00B021DF" w:rsidP="00C44004">
      <w:pPr>
        <w:pStyle w:val="QuoteAuthor"/>
      </w:pPr>
      <w:r w:rsidRPr="00C44004">
        <w:t>WA very small social benefit</w:t>
      </w:r>
    </w:p>
    <w:p w14:paraId="4F891075" w14:textId="77777777" w:rsidR="00B021DF" w:rsidRPr="00C44004" w:rsidRDefault="00B021DF" w:rsidP="00C44004">
      <w:pPr>
        <w:pStyle w:val="Quote"/>
      </w:pPr>
      <w:r w:rsidRPr="00C44004">
        <w:t>“The uncertainty that the scheme brings to participants and providers is costly and draining.”</w:t>
      </w:r>
    </w:p>
    <w:p w14:paraId="27FA6D95" w14:textId="77777777" w:rsidR="004316F3" w:rsidRPr="00C44004" w:rsidRDefault="00B021DF" w:rsidP="00C44004">
      <w:pPr>
        <w:pStyle w:val="QuoteAuthor"/>
      </w:pPr>
      <w:r w:rsidRPr="00C44004">
        <w:t>NSW medium not-for-profit</w:t>
      </w:r>
    </w:p>
    <w:p w14:paraId="2636D11B" w14:textId="52F54F92" w:rsidR="00B021DF" w:rsidRPr="00C44004" w:rsidRDefault="00B021DF" w:rsidP="00C44004">
      <w:pPr>
        <w:pStyle w:val="Quote"/>
      </w:pPr>
      <w:r w:rsidRPr="00C44004">
        <w:t>“Constant change and uncertainty can be an exhausting operating environment. We're like that leathery, resilient little frog in the heating saucepan where increasing difficulty is the norm until the point where you realise the best parts of the sector are at risk and that is NOT normal, sensible or good for our participants.”</w:t>
      </w:r>
    </w:p>
    <w:p w14:paraId="435947F9" w14:textId="77777777" w:rsidR="004316F3" w:rsidRPr="00C44004" w:rsidRDefault="0F348CBD" w:rsidP="00C44004">
      <w:pPr>
        <w:pStyle w:val="QuoteAuthor"/>
      </w:pPr>
      <w:r w:rsidRPr="00C44004">
        <w:t>Vic</w:t>
      </w:r>
      <w:r w:rsidR="00B021DF" w:rsidRPr="00C44004">
        <w:t xml:space="preserve"> medium not-for-profit</w:t>
      </w:r>
    </w:p>
    <w:p w14:paraId="4F46372A" w14:textId="4D4AA2ED" w:rsidR="00B021DF" w:rsidRPr="00C44004" w:rsidRDefault="00B021DF" w:rsidP="00C44004">
      <w:pPr>
        <w:pStyle w:val="Quote"/>
      </w:pPr>
      <w:r w:rsidRPr="00C44004">
        <w:t>“Many providers continue to experience delays and complexities in navigating the updated systems.”</w:t>
      </w:r>
    </w:p>
    <w:p w14:paraId="301A2CEA" w14:textId="77777777" w:rsidR="004316F3" w:rsidRPr="00C44004" w:rsidRDefault="00B021DF" w:rsidP="00C44004">
      <w:pPr>
        <w:pStyle w:val="QuoteAuthor"/>
      </w:pPr>
      <w:r w:rsidRPr="00C44004">
        <w:t>NSW very small for-profit</w:t>
      </w:r>
    </w:p>
    <w:p w14:paraId="3B0FD04C" w14:textId="532AE82F" w:rsidR="00B021DF" w:rsidRPr="00620176" w:rsidRDefault="00B021DF" w:rsidP="0097062A">
      <w:pPr>
        <w:rPr>
          <w:rFonts w:eastAsiaTheme="minorEastAsia"/>
        </w:rPr>
      </w:pPr>
      <w:r>
        <w:t xml:space="preserve">Several respondents noted planning and coordination challenges </w:t>
      </w:r>
      <w:r w:rsidR="00C76632">
        <w:t>of</w:t>
      </w:r>
      <w:r>
        <w:t xml:space="preserve"> the operating environment:</w:t>
      </w:r>
    </w:p>
    <w:p w14:paraId="68B6BC5D" w14:textId="77777777" w:rsidR="00B021DF" w:rsidRPr="00620176" w:rsidRDefault="00B021DF" w:rsidP="00C44004">
      <w:pPr>
        <w:pStyle w:val="Quote"/>
      </w:pPr>
      <w:r w:rsidRPr="5254036A">
        <w:t>“Provide a longer-term roadmap and stick to it.”</w:t>
      </w:r>
    </w:p>
    <w:p w14:paraId="0220929B" w14:textId="77777777" w:rsidR="004316F3" w:rsidRPr="00C44004" w:rsidRDefault="00B021DF" w:rsidP="00C44004">
      <w:pPr>
        <w:pStyle w:val="QuoteAuthor"/>
      </w:pPr>
      <w:r w:rsidRPr="00C44004">
        <w:t>T</w:t>
      </w:r>
      <w:r w:rsidR="008249B1" w:rsidRPr="00C44004">
        <w:t>as</w:t>
      </w:r>
      <w:r w:rsidRPr="00C44004">
        <w:t xml:space="preserve"> large not-for-profit</w:t>
      </w:r>
    </w:p>
    <w:p w14:paraId="7C12A89D" w14:textId="7739DEAD" w:rsidR="00B021DF" w:rsidRPr="00620176" w:rsidRDefault="00B021DF" w:rsidP="00C44004">
      <w:pPr>
        <w:pStyle w:val="Quote"/>
      </w:pPr>
      <w:r w:rsidRPr="5254036A">
        <w:t>“We need a formal response to the NDIS review and a timeline of which changes will come in.”</w:t>
      </w:r>
    </w:p>
    <w:p w14:paraId="1259DF2F" w14:textId="77777777" w:rsidR="004316F3" w:rsidRPr="00C44004" w:rsidRDefault="204DFB9E" w:rsidP="00C44004">
      <w:pPr>
        <w:pStyle w:val="QuoteAuthor"/>
      </w:pPr>
      <w:r w:rsidRPr="00C44004">
        <w:t>Vic</w:t>
      </w:r>
      <w:r w:rsidR="00B021DF" w:rsidRPr="00C44004">
        <w:t xml:space="preserve"> large not-for-profit</w:t>
      </w:r>
    </w:p>
    <w:p w14:paraId="78B8F901" w14:textId="4BA19EE7" w:rsidR="00B021DF" w:rsidRPr="00620176" w:rsidRDefault="00B021DF" w:rsidP="00C44004">
      <w:pPr>
        <w:rPr>
          <w:rFonts w:eastAsiaTheme="minorEastAsia"/>
        </w:rPr>
      </w:pPr>
      <w:r>
        <w:t xml:space="preserve">Several respondents raised communication and stakeholder consultation issues </w:t>
      </w:r>
      <w:r w:rsidR="006F21CD">
        <w:t>in</w:t>
      </w:r>
      <w:r>
        <w:t xml:space="preserve"> the operating environment:</w:t>
      </w:r>
    </w:p>
    <w:p w14:paraId="6B358CE1" w14:textId="77777777" w:rsidR="00B021DF" w:rsidRPr="00620176" w:rsidRDefault="00B021DF" w:rsidP="00C44004">
      <w:pPr>
        <w:pStyle w:val="Quote"/>
      </w:pPr>
      <w:r w:rsidRPr="5CB07BC1">
        <w:t>“The NDIS is not very consistent with information that it provides.”</w:t>
      </w:r>
    </w:p>
    <w:p w14:paraId="7007FF9B" w14:textId="77777777" w:rsidR="004316F3" w:rsidRPr="00C44004" w:rsidRDefault="00B021DF" w:rsidP="00C44004">
      <w:pPr>
        <w:pStyle w:val="QuoteAuthor"/>
      </w:pPr>
      <w:r w:rsidRPr="00C44004">
        <w:lastRenderedPageBreak/>
        <w:t>Q</w:t>
      </w:r>
      <w:r w:rsidR="00890B4F" w:rsidRPr="00C44004">
        <w:t>ld</w:t>
      </w:r>
      <w:r w:rsidRPr="00C44004">
        <w:t xml:space="preserve"> small not-for-profit</w:t>
      </w:r>
    </w:p>
    <w:p w14:paraId="3C216F74" w14:textId="36A4EC3F" w:rsidR="00B021DF" w:rsidRPr="00620176" w:rsidRDefault="00B021DF" w:rsidP="00C44004">
      <w:pPr>
        <w:pStyle w:val="Quote"/>
      </w:pPr>
      <w:r w:rsidRPr="38FE0E0E">
        <w:t>“As a larger provider and member of multiple organisations that represent NDIS providers</w:t>
      </w:r>
      <w:r w:rsidRPr="507531B7">
        <w:t>,</w:t>
      </w:r>
      <w:r w:rsidRPr="38FE0E0E">
        <w:t xml:space="preserve"> I am very disappointed in the way the Commonwealth </w:t>
      </w:r>
      <w:r w:rsidRPr="507531B7">
        <w:t>Government</w:t>
      </w:r>
      <w:r w:rsidRPr="38FE0E0E">
        <w:t xml:space="preserve"> and NDIA have treated large providers asking for our help, our insights, our thoughts and then completely ignoring our advice.”</w:t>
      </w:r>
    </w:p>
    <w:p w14:paraId="40E23D05" w14:textId="77777777" w:rsidR="004316F3" w:rsidRPr="00C44004" w:rsidRDefault="00B021DF" w:rsidP="00625809">
      <w:pPr>
        <w:pStyle w:val="QuoteAuthor"/>
      </w:pPr>
      <w:r w:rsidRPr="00C44004">
        <w:t>SA large not-for-profit</w:t>
      </w:r>
    </w:p>
    <w:p w14:paraId="5C69F1EA" w14:textId="5839EA66" w:rsidR="00B021DF" w:rsidRPr="00620176" w:rsidRDefault="00B021DF" w:rsidP="0097062A">
      <w:pPr>
        <w:pStyle w:val="Heading3"/>
      </w:pPr>
      <w:r>
        <w:t>NDIS operating environment</w:t>
      </w:r>
    </w:p>
    <w:p w14:paraId="67728269" w14:textId="5856CF8B" w:rsidR="00B021DF" w:rsidRDefault="006F21CD" w:rsidP="0097062A">
      <w:r>
        <w:t>Opinions</w:t>
      </w:r>
      <w:r w:rsidR="00B021DF">
        <w:t xml:space="preserve"> of the NDIS operating environment continued to decline. Almost all measures were significantly poorer than in 2023</w:t>
      </w:r>
      <w:r w:rsidR="007B3F2D">
        <w:t xml:space="preserve"> (see </w:t>
      </w:r>
      <w:r w:rsidR="007B3F2D">
        <w:fldChar w:fldCharType="begin"/>
      </w:r>
      <w:r w:rsidR="007B3F2D">
        <w:instrText xml:space="preserve"> REF _Ref183699368 \h </w:instrText>
      </w:r>
      <w:r w:rsidR="007B3F2D">
        <w:fldChar w:fldCharType="separate"/>
      </w:r>
      <w:r w:rsidR="009D342F">
        <w:t>Table </w:t>
      </w:r>
      <w:r w:rsidR="007B3F2D">
        <w:rPr>
          <w:noProof/>
        </w:rPr>
        <w:t>4</w:t>
      </w:r>
      <w:r w:rsidR="007B3F2D">
        <w:fldChar w:fldCharType="end"/>
      </w:r>
      <w:r w:rsidR="007B3F2D">
        <w:t>)</w:t>
      </w:r>
      <w:r w:rsidR="00B021DF">
        <w:t>. The only measures that remained the same were:</w:t>
      </w:r>
    </w:p>
    <w:p w14:paraId="710CC677" w14:textId="77777777" w:rsidR="004316F3" w:rsidRDefault="00B021DF" w:rsidP="0097062A">
      <w:pPr>
        <w:pStyle w:val="ListParagraph"/>
        <w:numPr>
          <w:ilvl w:val="0"/>
          <w:numId w:val="47"/>
        </w:numPr>
      </w:pPr>
      <w:r w:rsidRPr="35FDB390">
        <w:t>“Helping people understand and navigate the scheme is taking us away from service provision” (with a stable 76 per cent of respondents agreeing).</w:t>
      </w:r>
    </w:p>
    <w:p w14:paraId="0DEE476F" w14:textId="424BCD38" w:rsidR="00B021DF" w:rsidRDefault="7EFE1367" w:rsidP="0097062A">
      <w:pPr>
        <w:pStyle w:val="ListParagraph"/>
        <w:numPr>
          <w:ilvl w:val="0"/>
          <w:numId w:val="47"/>
        </w:numPr>
      </w:pPr>
      <w:r w:rsidRPr="50E3E469">
        <w:t>“There are too many unnecessary rules and regulations my organisation has to follow” (with 63 per cent of respondents agreeing).</w:t>
      </w:r>
    </w:p>
    <w:p w14:paraId="0840D62B" w14:textId="6FF60FD4" w:rsidR="00B50CFF" w:rsidRDefault="009D342F" w:rsidP="005366DB">
      <w:pPr>
        <w:pStyle w:val="Caption"/>
      </w:pPr>
      <w:bookmarkStart w:id="21" w:name="_Ref183699368"/>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4</w:t>
      </w:r>
      <w:r w:rsidR="0007250B" w:rsidRPr="001A77F7">
        <w:rPr>
          <w:b/>
          <w:bCs/>
          <w:noProof/>
        </w:rPr>
        <w:fldChar w:fldCharType="end"/>
      </w:r>
      <w:bookmarkEnd w:id="21"/>
      <w:r w:rsidR="00B50CFF" w:rsidRPr="004B444C">
        <w:t xml:space="preserve"> </w:t>
      </w:r>
      <w:r w:rsidR="00B50CFF" w:rsidRPr="0023170C">
        <w:t>Perceptions of the NDIS environment</w:t>
      </w:r>
    </w:p>
    <w:tbl>
      <w:tblPr>
        <w:tblW w:w="0" w:type="auto"/>
        <w:tblLook w:val="04A0" w:firstRow="1" w:lastRow="0" w:firstColumn="1" w:lastColumn="0" w:noHBand="0" w:noVBand="1"/>
        <w:tblCaption w:val="Table 4 Perceptions of the NDIS environment"/>
        <w:tblDescription w:val="A table showing perceptions of the NDIS environment in 2024."/>
      </w:tblPr>
      <w:tblGrid>
        <w:gridCol w:w="3681"/>
        <w:gridCol w:w="1559"/>
        <w:gridCol w:w="1843"/>
        <w:gridCol w:w="1933"/>
      </w:tblGrid>
      <w:tr w:rsidR="000618BE" w:rsidRPr="00F91A85" w14:paraId="41FCCB7B" w14:textId="77777777" w:rsidTr="00F91A85">
        <w:trPr>
          <w:trHeight w:val="918"/>
          <w:tblHeader/>
        </w:trPr>
        <w:tc>
          <w:tcPr>
            <w:tcW w:w="368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AE6FF1" w14:textId="77777777" w:rsidR="000618BE" w:rsidRPr="00F91A85" w:rsidRDefault="000618BE" w:rsidP="00F91A85">
            <w:pPr>
              <w:rPr>
                <w:b/>
                <w:bCs/>
                <w:lang w:eastAsia="en-AU"/>
              </w:rPr>
            </w:pPr>
            <w:bookmarkStart w:id="22" w:name="Title_Table_4"/>
            <w:bookmarkEnd w:id="22"/>
            <w:r w:rsidRPr="00F91A85">
              <w:rPr>
                <w:b/>
                <w:bCs/>
                <w:lang w:eastAsia="en-AU"/>
              </w:rPr>
              <w:t>Statement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0409139F" w14:textId="77777777" w:rsidR="000618BE" w:rsidRPr="00F91A85" w:rsidRDefault="000618BE" w:rsidP="00F91A85">
            <w:pPr>
              <w:rPr>
                <w:b/>
                <w:bCs/>
                <w:lang w:eastAsia="en-AU"/>
              </w:rPr>
            </w:pPr>
            <w:r w:rsidRPr="00F91A85">
              <w:rPr>
                <w:b/>
                <w:bCs/>
                <w:lang w:eastAsia="en-AU"/>
              </w:rPr>
              <w:t>Disagree or strongly disagree</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6B426E89" w14:textId="77777777" w:rsidR="000618BE" w:rsidRPr="00F91A85" w:rsidRDefault="000618BE" w:rsidP="00F91A85">
            <w:pPr>
              <w:rPr>
                <w:b/>
                <w:bCs/>
                <w:lang w:eastAsia="en-AU"/>
              </w:rPr>
            </w:pPr>
            <w:r w:rsidRPr="00F91A85">
              <w:rPr>
                <w:b/>
                <w:bCs/>
                <w:lang w:eastAsia="en-AU"/>
              </w:rPr>
              <w:t>Neither agree nor disagree</w:t>
            </w:r>
          </w:p>
        </w:tc>
        <w:tc>
          <w:tcPr>
            <w:tcW w:w="1933" w:type="dxa"/>
            <w:tcBorders>
              <w:top w:val="single" w:sz="4" w:space="0" w:color="auto"/>
              <w:left w:val="nil"/>
              <w:bottom w:val="single" w:sz="4" w:space="0" w:color="auto"/>
              <w:right w:val="single" w:sz="4" w:space="0" w:color="auto"/>
            </w:tcBorders>
            <w:shd w:val="clear" w:color="000000" w:fill="D9D9D9"/>
            <w:vAlign w:val="center"/>
            <w:hideMark/>
          </w:tcPr>
          <w:p w14:paraId="6E976B50" w14:textId="77777777" w:rsidR="000618BE" w:rsidRPr="00F91A85" w:rsidRDefault="000618BE" w:rsidP="00F91A85">
            <w:pPr>
              <w:rPr>
                <w:b/>
                <w:bCs/>
                <w:lang w:eastAsia="en-AU"/>
              </w:rPr>
            </w:pPr>
            <w:r w:rsidRPr="00F91A85">
              <w:rPr>
                <w:b/>
                <w:bCs/>
                <w:lang w:eastAsia="en-AU"/>
              </w:rPr>
              <w:t>Agree or strongly agree</w:t>
            </w:r>
          </w:p>
        </w:tc>
      </w:tr>
      <w:tr w:rsidR="000618BE" w:rsidRPr="009C4B15" w14:paraId="4D9427D3"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A170B6C" w14:textId="77777777" w:rsidR="000618BE" w:rsidRPr="009C4B15" w:rsidRDefault="000618BE" w:rsidP="00B550BF">
            <w:pPr>
              <w:rPr>
                <w:lang w:eastAsia="en-AU"/>
              </w:rPr>
            </w:pPr>
            <w:r w:rsidRPr="009C4B15">
              <w:rPr>
                <w:lang w:eastAsia="en-AU"/>
              </w:rPr>
              <w:t>NDIS policy reforms are heading in the right direction</w:t>
            </w:r>
          </w:p>
        </w:tc>
        <w:tc>
          <w:tcPr>
            <w:tcW w:w="1559" w:type="dxa"/>
            <w:tcBorders>
              <w:top w:val="nil"/>
              <w:left w:val="nil"/>
              <w:bottom w:val="single" w:sz="4" w:space="0" w:color="auto"/>
              <w:right w:val="single" w:sz="4" w:space="0" w:color="auto"/>
            </w:tcBorders>
            <w:shd w:val="clear" w:color="auto" w:fill="auto"/>
            <w:noWrap/>
            <w:vAlign w:val="center"/>
            <w:hideMark/>
          </w:tcPr>
          <w:p w14:paraId="011DEAA1" w14:textId="77777777" w:rsidR="000618BE" w:rsidRPr="009C4B15" w:rsidRDefault="000618BE" w:rsidP="00B550BF">
            <w:pPr>
              <w:rPr>
                <w:lang w:eastAsia="en-AU"/>
              </w:rPr>
            </w:pPr>
            <w:r w:rsidRPr="009C4B15">
              <w:rPr>
                <w:lang w:eastAsia="en-AU"/>
              </w:rPr>
              <w:t>49 per cent</w:t>
            </w:r>
          </w:p>
        </w:tc>
        <w:tc>
          <w:tcPr>
            <w:tcW w:w="1843" w:type="dxa"/>
            <w:tcBorders>
              <w:top w:val="nil"/>
              <w:left w:val="nil"/>
              <w:bottom w:val="single" w:sz="4" w:space="0" w:color="auto"/>
              <w:right w:val="single" w:sz="4" w:space="0" w:color="auto"/>
            </w:tcBorders>
            <w:shd w:val="clear" w:color="auto" w:fill="auto"/>
            <w:noWrap/>
            <w:vAlign w:val="center"/>
            <w:hideMark/>
          </w:tcPr>
          <w:p w14:paraId="73BEE565" w14:textId="77777777" w:rsidR="000618BE" w:rsidRPr="009C4B15" w:rsidRDefault="000618BE" w:rsidP="00B550BF">
            <w:pPr>
              <w:rPr>
                <w:lang w:eastAsia="en-AU"/>
              </w:rPr>
            </w:pPr>
            <w:r w:rsidRPr="009C4B15">
              <w:rPr>
                <w:lang w:eastAsia="en-AU"/>
              </w:rPr>
              <w:t>23 per cent</w:t>
            </w:r>
          </w:p>
        </w:tc>
        <w:tc>
          <w:tcPr>
            <w:tcW w:w="1933" w:type="dxa"/>
            <w:tcBorders>
              <w:top w:val="nil"/>
              <w:left w:val="nil"/>
              <w:bottom w:val="single" w:sz="4" w:space="0" w:color="auto"/>
              <w:right w:val="single" w:sz="4" w:space="0" w:color="auto"/>
            </w:tcBorders>
            <w:shd w:val="clear" w:color="auto" w:fill="auto"/>
            <w:noWrap/>
            <w:vAlign w:val="center"/>
            <w:hideMark/>
          </w:tcPr>
          <w:p w14:paraId="7D735BC2" w14:textId="77777777" w:rsidR="000618BE" w:rsidRPr="009C4B15" w:rsidRDefault="000618BE" w:rsidP="00B550BF">
            <w:pPr>
              <w:rPr>
                <w:lang w:eastAsia="en-AU"/>
              </w:rPr>
            </w:pPr>
            <w:r w:rsidRPr="009C4B15">
              <w:rPr>
                <w:lang w:eastAsia="en-AU"/>
              </w:rPr>
              <w:t>27 per cent</w:t>
            </w:r>
          </w:p>
        </w:tc>
      </w:tr>
      <w:tr w:rsidR="000618BE" w:rsidRPr="009C4B15" w14:paraId="41E410BC" w14:textId="77777777" w:rsidTr="00F91A85">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7C8975A" w14:textId="77777777" w:rsidR="000618BE" w:rsidRPr="009C4B15" w:rsidRDefault="000618BE" w:rsidP="00B550BF">
            <w:pPr>
              <w:rPr>
                <w:lang w:eastAsia="en-AU"/>
              </w:rPr>
            </w:pPr>
            <w:r w:rsidRPr="009C4B15">
              <w:rPr>
                <w:lang w:eastAsia="en-AU"/>
              </w:rPr>
              <w:t>The NDIA is working well with providers</w:t>
            </w:r>
          </w:p>
        </w:tc>
        <w:tc>
          <w:tcPr>
            <w:tcW w:w="1559" w:type="dxa"/>
            <w:tcBorders>
              <w:top w:val="nil"/>
              <w:left w:val="nil"/>
              <w:bottom w:val="single" w:sz="4" w:space="0" w:color="auto"/>
              <w:right w:val="single" w:sz="4" w:space="0" w:color="auto"/>
            </w:tcBorders>
            <w:shd w:val="clear" w:color="auto" w:fill="auto"/>
            <w:noWrap/>
            <w:vAlign w:val="center"/>
            <w:hideMark/>
          </w:tcPr>
          <w:p w14:paraId="75633F65" w14:textId="77777777" w:rsidR="000618BE" w:rsidRPr="009C4B15" w:rsidRDefault="000618BE" w:rsidP="00B550BF">
            <w:pPr>
              <w:rPr>
                <w:lang w:eastAsia="en-AU"/>
              </w:rPr>
            </w:pPr>
            <w:r w:rsidRPr="009C4B15">
              <w:rPr>
                <w:lang w:eastAsia="en-AU"/>
              </w:rPr>
              <w:t>84 per cent</w:t>
            </w:r>
          </w:p>
        </w:tc>
        <w:tc>
          <w:tcPr>
            <w:tcW w:w="1843" w:type="dxa"/>
            <w:tcBorders>
              <w:top w:val="nil"/>
              <w:left w:val="nil"/>
              <w:bottom w:val="single" w:sz="4" w:space="0" w:color="auto"/>
              <w:right w:val="single" w:sz="4" w:space="0" w:color="auto"/>
            </w:tcBorders>
            <w:shd w:val="clear" w:color="auto" w:fill="auto"/>
            <w:noWrap/>
            <w:vAlign w:val="center"/>
            <w:hideMark/>
          </w:tcPr>
          <w:p w14:paraId="7B83EE83" w14:textId="77777777" w:rsidR="000618BE" w:rsidRPr="009C4B15" w:rsidRDefault="000618BE" w:rsidP="00B550BF">
            <w:pPr>
              <w:rPr>
                <w:lang w:eastAsia="en-AU"/>
              </w:rPr>
            </w:pPr>
            <w:r w:rsidRPr="009C4B15">
              <w:rPr>
                <w:lang w:eastAsia="en-AU"/>
              </w:rPr>
              <w:t>11 per cent</w:t>
            </w:r>
          </w:p>
        </w:tc>
        <w:tc>
          <w:tcPr>
            <w:tcW w:w="1933" w:type="dxa"/>
            <w:tcBorders>
              <w:top w:val="nil"/>
              <w:left w:val="nil"/>
              <w:bottom w:val="single" w:sz="4" w:space="0" w:color="auto"/>
              <w:right w:val="single" w:sz="4" w:space="0" w:color="auto"/>
            </w:tcBorders>
            <w:shd w:val="clear" w:color="auto" w:fill="auto"/>
            <w:noWrap/>
            <w:vAlign w:val="center"/>
            <w:hideMark/>
          </w:tcPr>
          <w:p w14:paraId="0F621C4B" w14:textId="77777777" w:rsidR="000618BE" w:rsidRPr="009C4B15" w:rsidRDefault="000618BE" w:rsidP="00B550BF">
            <w:pPr>
              <w:rPr>
                <w:lang w:eastAsia="en-AU"/>
              </w:rPr>
            </w:pPr>
            <w:r w:rsidRPr="009C4B15">
              <w:rPr>
                <w:lang w:eastAsia="en-AU"/>
              </w:rPr>
              <w:t>5 per cent</w:t>
            </w:r>
          </w:p>
        </w:tc>
      </w:tr>
      <w:tr w:rsidR="000618BE" w:rsidRPr="009C4B15" w14:paraId="2176973F" w14:textId="77777777" w:rsidTr="00F91A85">
        <w:trPr>
          <w:trHeight w:val="3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562CB92" w14:textId="77777777" w:rsidR="000618BE" w:rsidRPr="009C4B15" w:rsidRDefault="000618BE" w:rsidP="00B550BF">
            <w:pPr>
              <w:rPr>
                <w:lang w:eastAsia="en-AU"/>
              </w:rPr>
            </w:pPr>
            <w:r w:rsidRPr="009C4B15">
              <w:rPr>
                <w:lang w:eastAsia="en-AU"/>
              </w:rPr>
              <w:t>The NDIS policy environment is uncertain</w:t>
            </w:r>
          </w:p>
        </w:tc>
        <w:tc>
          <w:tcPr>
            <w:tcW w:w="1559" w:type="dxa"/>
            <w:tcBorders>
              <w:top w:val="nil"/>
              <w:left w:val="nil"/>
              <w:bottom w:val="single" w:sz="4" w:space="0" w:color="auto"/>
              <w:right w:val="single" w:sz="4" w:space="0" w:color="auto"/>
            </w:tcBorders>
            <w:shd w:val="clear" w:color="auto" w:fill="auto"/>
            <w:noWrap/>
            <w:vAlign w:val="center"/>
            <w:hideMark/>
          </w:tcPr>
          <w:p w14:paraId="1A2880A0" w14:textId="77777777" w:rsidR="000618BE" w:rsidRPr="009C4B15" w:rsidRDefault="000618BE" w:rsidP="00B550BF">
            <w:pPr>
              <w:rPr>
                <w:lang w:eastAsia="en-AU"/>
              </w:rPr>
            </w:pPr>
            <w:r w:rsidRPr="009C4B15">
              <w:rPr>
                <w:lang w:eastAsia="en-AU"/>
              </w:rPr>
              <w:t>4 per cent</w:t>
            </w:r>
          </w:p>
        </w:tc>
        <w:tc>
          <w:tcPr>
            <w:tcW w:w="1843" w:type="dxa"/>
            <w:tcBorders>
              <w:top w:val="nil"/>
              <w:left w:val="nil"/>
              <w:bottom w:val="single" w:sz="4" w:space="0" w:color="auto"/>
              <w:right w:val="single" w:sz="4" w:space="0" w:color="auto"/>
            </w:tcBorders>
            <w:shd w:val="clear" w:color="auto" w:fill="auto"/>
            <w:noWrap/>
            <w:vAlign w:val="center"/>
            <w:hideMark/>
          </w:tcPr>
          <w:p w14:paraId="1EDB32C6" w14:textId="77777777" w:rsidR="000618BE" w:rsidRPr="009C4B15" w:rsidRDefault="000618BE" w:rsidP="00B550BF">
            <w:pPr>
              <w:rPr>
                <w:lang w:eastAsia="en-AU"/>
              </w:rPr>
            </w:pPr>
            <w:r w:rsidRPr="009C4B15">
              <w:rPr>
                <w:lang w:eastAsia="en-AU"/>
              </w:rPr>
              <w:t>5 per cent</w:t>
            </w:r>
          </w:p>
        </w:tc>
        <w:tc>
          <w:tcPr>
            <w:tcW w:w="1933" w:type="dxa"/>
            <w:tcBorders>
              <w:top w:val="nil"/>
              <w:left w:val="nil"/>
              <w:bottom w:val="single" w:sz="4" w:space="0" w:color="auto"/>
              <w:right w:val="single" w:sz="4" w:space="0" w:color="auto"/>
            </w:tcBorders>
            <w:shd w:val="clear" w:color="auto" w:fill="auto"/>
            <w:noWrap/>
            <w:vAlign w:val="center"/>
            <w:hideMark/>
          </w:tcPr>
          <w:p w14:paraId="5A3795B1" w14:textId="77777777" w:rsidR="000618BE" w:rsidRPr="009C4B15" w:rsidRDefault="000618BE" w:rsidP="00B550BF">
            <w:pPr>
              <w:rPr>
                <w:lang w:eastAsia="en-AU"/>
              </w:rPr>
            </w:pPr>
            <w:r w:rsidRPr="009C4B15">
              <w:rPr>
                <w:lang w:eastAsia="en-AU"/>
              </w:rPr>
              <w:t>91 per cent</w:t>
            </w:r>
          </w:p>
        </w:tc>
      </w:tr>
      <w:tr w:rsidR="000618BE" w:rsidRPr="009C4B15" w14:paraId="37370CE2"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D950D99" w14:textId="77777777" w:rsidR="000618BE" w:rsidRPr="009C4B15" w:rsidRDefault="000618BE" w:rsidP="00B550BF">
            <w:pPr>
              <w:rPr>
                <w:lang w:eastAsia="en-AU"/>
              </w:rPr>
            </w:pPr>
            <w:r w:rsidRPr="009C4B15">
              <w:rPr>
                <w:lang w:eastAsia="en-AU"/>
              </w:rPr>
              <w:t>The risks that the NDIS presents to my organisation outweigh the opportunities</w:t>
            </w:r>
          </w:p>
        </w:tc>
        <w:tc>
          <w:tcPr>
            <w:tcW w:w="1559" w:type="dxa"/>
            <w:tcBorders>
              <w:top w:val="nil"/>
              <w:left w:val="nil"/>
              <w:bottom w:val="single" w:sz="4" w:space="0" w:color="auto"/>
              <w:right w:val="single" w:sz="4" w:space="0" w:color="auto"/>
            </w:tcBorders>
            <w:shd w:val="clear" w:color="auto" w:fill="auto"/>
            <w:noWrap/>
            <w:vAlign w:val="center"/>
            <w:hideMark/>
          </w:tcPr>
          <w:p w14:paraId="3A378BE3" w14:textId="77777777" w:rsidR="000618BE" w:rsidRPr="009C4B15" w:rsidRDefault="000618BE" w:rsidP="00B550BF">
            <w:pPr>
              <w:rPr>
                <w:lang w:eastAsia="en-AU"/>
              </w:rPr>
            </w:pPr>
            <w:r w:rsidRPr="009C4B15">
              <w:rPr>
                <w:lang w:eastAsia="en-AU"/>
              </w:rPr>
              <w:t>16 per cent</w:t>
            </w:r>
          </w:p>
        </w:tc>
        <w:tc>
          <w:tcPr>
            <w:tcW w:w="1843" w:type="dxa"/>
            <w:tcBorders>
              <w:top w:val="nil"/>
              <w:left w:val="nil"/>
              <w:bottom w:val="single" w:sz="4" w:space="0" w:color="auto"/>
              <w:right w:val="single" w:sz="4" w:space="0" w:color="auto"/>
            </w:tcBorders>
            <w:shd w:val="clear" w:color="auto" w:fill="auto"/>
            <w:noWrap/>
            <w:vAlign w:val="center"/>
            <w:hideMark/>
          </w:tcPr>
          <w:p w14:paraId="7FFE4D1E" w14:textId="77777777" w:rsidR="000618BE" w:rsidRPr="009C4B15" w:rsidRDefault="000618BE" w:rsidP="00B550BF">
            <w:pPr>
              <w:rPr>
                <w:lang w:eastAsia="en-AU"/>
              </w:rPr>
            </w:pPr>
            <w:r w:rsidRPr="009C4B15">
              <w:rPr>
                <w:lang w:eastAsia="en-AU"/>
              </w:rPr>
              <w:t>27 per cent</w:t>
            </w:r>
          </w:p>
        </w:tc>
        <w:tc>
          <w:tcPr>
            <w:tcW w:w="1933" w:type="dxa"/>
            <w:tcBorders>
              <w:top w:val="nil"/>
              <w:left w:val="nil"/>
              <w:bottom w:val="single" w:sz="4" w:space="0" w:color="auto"/>
              <w:right w:val="single" w:sz="4" w:space="0" w:color="auto"/>
            </w:tcBorders>
            <w:shd w:val="clear" w:color="auto" w:fill="auto"/>
            <w:noWrap/>
            <w:vAlign w:val="center"/>
            <w:hideMark/>
          </w:tcPr>
          <w:p w14:paraId="59E166F1" w14:textId="77777777" w:rsidR="000618BE" w:rsidRPr="009C4B15" w:rsidRDefault="000618BE" w:rsidP="00B550BF">
            <w:pPr>
              <w:rPr>
                <w:lang w:eastAsia="en-AU"/>
              </w:rPr>
            </w:pPr>
            <w:r w:rsidRPr="009C4B15">
              <w:rPr>
                <w:lang w:eastAsia="en-AU"/>
              </w:rPr>
              <w:t>57 per cent</w:t>
            </w:r>
          </w:p>
        </w:tc>
      </w:tr>
      <w:tr w:rsidR="000618BE" w:rsidRPr="009C4B15" w14:paraId="392B853A"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F61211" w14:textId="77777777" w:rsidR="000618BE" w:rsidRPr="009C4B15" w:rsidRDefault="000618BE" w:rsidP="00B550BF">
            <w:pPr>
              <w:rPr>
                <w:lang w:eastAsia="en-AU"/>
              </w:rPr>
            </w:pPr>
            <w:r w:rsidRPr="009C4B15">
              <w:rPr>
                <w:lang w:eastAsia="en-AU"/>
              </w:rPr>
              <w:lastRenderedPageBreak/>
              <w:t>We are worried we won't be able to provide NDIS services at current prices</w:t>
            </w:r>
          </w:p>
        </w:tc>
        <w:tc>
          <w:tcPr>
            <w:tcW w:w="1559" w:type="dxa"/>
            <w:tcBorders>
              <w:top w:val="nil"/>
              <w:left w:val="nil"/>
              <w:bottom w:val="single" w:sz="4" w:space="0" w:color="auto"/>
              <w:right w:val="single" w:sz="4" w:space="0" w:color="auto"/>
            </w:tcBorders>
            <w:shd w:val="clear" w:color="auto" w:fill="auto"/>
            <w:noWrap/>
            <w:vAlign w:val="center"/>
            <w:hideMark/>
          </w:tcPr>
          <w:p w14:paraId="5C1FF974" w14:textId="77777777" w:rsidR="000618BE" w:rsidRPr="009C4B15" w:rsidRDefault="000618BE" w:rsidP="00B550BF">
            <w:pPr>
              <w:rPr>
                <w:lang w:eastAsia="en-AU"/>
              </w:rPr>
            </w:pPr>
            <w:r w:rsidRPr="009C4B15">
              <w:rPr>
                <w:lang w:eastAsia="en-AU"/>
              </w:rPr>
              <w:t>9 per cent</w:t>
            </w:r>
          </w:p>
        </w:tc>
        <w:tc>
          <w:tcPr>
            <w:tcW w:w="1843" w:type="dxa"/>
            <w:tcBorders>
              <w:top w:val="nil"/>
              <w:left w:val="nil"/>
              <w:bottom w:val="single" w:sz="4" w:space="0" w:color="auto"/>
              <w:right w:val="single" w:sz="4" w:space="0" w:color="auto"/>
            </w:tcBorders>
            <w:shd w:val="clear" w:color="auto" w:fill="auto"/>
            <w:noWrap/>
            <w:vAlign w:val="center"/>
            <w:hideMark/>
          </w:tcPr>
          <w:p w14:paraId="51B1CAD4" w14:textId="77777777" w:rsidR="000618BE" w:rsidRPr="009C4B15" w:rsidRDefault="000618BE" w:rsidP="00B550BF">
            <w:pPr>
              <w:rPr>
                <w:lang w:eastAsia="en-AU"/>
              </w:rPr>
            </w:pPr>
            <w:r w:rsidRPr="009C4B15">
              <w:rPr>
                <w:lang w:eastAsia="en-AU"/>
              </w:rPr>
              <w:t>11 per cent</w:t>
            </w:r>
          </w:p>
        </w:tc>
        <w:tc>
          <w:tcPr>
            <w:tcW w:w="1933" w:type="dxa"/>
            <w:tcBorders>
              <w:top w:val="nil"/>
              <w:left w:val="nil"/>
              <w:bottom w:val="single" w:sz="4" w:space="0" w:color="auto"/>
              <w:right w:val="single" w:sz="4" w:space="0" w:color="auto"/>
            </w:tcBorders>
            <w:shd w:val="clear" w:color="auto" w:fill="auto"/>
            <w:noWrap/>
            <w:vAlign w:val="center"/>
            <w:hideMark/>
          </w:tcPr>
          <w:p w14:paraId="2CBF123D" w14:textId="77777777" w:rsidR="000618BE" w:rsidRPr="009C4B15" w:rsidRDefault="000618BE" w:rsidP="00B550BF">
            <w:pPr>
              <w:rPr>
                <w:lang w:eastAsia="en-AU"/>
              </w:rPr>
            </w:pPr>
            <w:r w:rsidRPr="009C4B15">
              <w:rPr>
                <w:lang w:eastAsia="en-AU"/>
              </w:rPr>
              <w:t>80 per cent</w:t>
            </w:r>
          </w:p>
        </w:tc>
      </w:tr>
      <w:tr w:rsidR="000618BE" w:rsidRPr="009C4B15" w14:paraId="3BC13178" w14:textId="77777777" w:rsidTr="00F91A85">
        <w:trPr>
          <w:trHeight w:val="9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5A2DE75" w14:textId="77777777" w:rsidR="000618BE" w:rsidRPr="009C4B15" w:rsidRDefault="000618BE" w:rsidP="00B550BF">
            <w:pPr>
              <w:rPr>
                <w:lang w:eastAsia="en-AU"/>
              </w:rPr>
            </w:pPr>
            <w:r w:rsidRPr="009C4B15">
              <w:rPr>
                <w:lang w:eastAsia="en-AU"/>
              </w:rPr>
              <w:t>We are confident that the NDIS Quality and Safeguarding Framework supports the quality of services/outcomes</w:t>
            </w:r>
          </w:p>
        </w:tc>
        <w:tc>
          <w:tcPr>
            <w:tcW w:w="1559" w:type="dxa"/>
            <w:tcBorders>
              <w:top w:val="nil"/>
              <w:left w:val="nil"/>
              <w:bottom w:val="single" w:sz="4" w:space="0" w:color="auto"/>
              <w:right w:val="single" w:sz="4" w:space="0" w:color="auto"/>
            </w:tcBorders>
            <w:shd w:val="clear" w:color="auto" w:fill="auto"/>
            <w:noWrap/>
            <w:vAlign w:val="center"/>
            <w:hideMark/>
          </w:tcPr>
          <w:p w14:paraId="643D06EB" w14:textId="77777777" w:rsidR="000618BE" w:rsidRPr="009C4B15" w:rsidRDefault="000618BE" w:rsidP="00B550BF">
            <w:pPr>
              <w:rPr>
                <w:lang w:eastAsia="en-AU"/>
              </w:rPr>
            </w:pPr>
            <w:r w:rsidRPr="009C4B15">
              <w:rPr>
                <w:lang w:eastAsia="en-AU"/>
              </w:rPr>
              <w:t>53 per cent</w:t>
            </w:r>
          </w:p>
        </w:tc>
        <w:tc>
          <w:tcPr>
            <w:tcW w:w="1843" w:type="dxa"/>
            <w:tcBorders>
              <w:top w:val="nil"/>
              <w:left w:val="nil"/>
              <w:bottom w:val="single" w:sz="4" w:space="0" w:color="auto"/>
              <w:right w:val="single" w:sz="4" w:space="0" w:color="auto"/>
            </w:tcBorders>
            <w:shd w:val="clear" w:color="auto" w:fill="auto"/>
            <w:noWrap/>
            <w:vAlign w:val="center"/>
            <w:hideMark/>
          </w:tcPr>
          <w:p w14:paraId="143F4C1A" w14:textId="77777777" w:rsidR="000618BE" w:rsidRPr="009C4B15" w:rsidRDefault="000618BE" w:rsidP="00B550BF">
            <w:pPr>
              <w:rPr>
                <w:lang w:eastAsia="en-AU"/>
              </w:rPr>
            </w:pPr>
            <w:r w:rsidRPr="009C4B15">
              <w:rPr>
                <w:lang w:eastAsia="en-AU"/>
              </w:rPr>
              <w:t>22 per cent</w:t>
            </w:r>
          </w:p>
        </w:tc>
        <w:tc>
          <w:tcPr>
            <w:tcW w:w="1933" w:type="dxa"/>
            <w:tcBorders>
              <w:top w:val="nil"/>
              <w:left w:val="nil"/>
              <w:bottom w:val="single" w:sz="4" w:space="0" w:color="auto"/>
              <w:right w:val="single" w:sz="4" w:space="0" w:color="auto"/>
            </w:tcBorders>
            <w:shd w:val="clear" w:color="auto" w:fill="auto"/>
            <w:noWrap/>
            <w:vAlign w:val="center"/>
            <w:hideMark/>
          </w:tcPr>
          <w:p w14:paraId="5B57360B" w14:textId="77777777" w:rsidR="000618BE" w:rsidRPr="009C4B15" w:rsidRDefault="000618BE" w:rsidP="00B550BF">
            <w:pPr>
              <w:rPr>
                <w:lang w:eastAsia="en-AU"/>
              </w:rPr>
            </w:pPr>
            <w:r w:rsidRPr="009C4B15">
              <w:rPr>
                <w:lang w:eastAsia="en-AU"/>
              </w:rPr>
              <w:t>26 per cent</w:t>
            </w:r>
          </w:p>
        </w:tc>
      </w:tr>
      <w:tr w:rsidR="000618BE" w:rsidRPr="009C4B15" w14:paraId="25709F80"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D938A87" w14:textId="77777777" w:rsidR="000618BE" w:rsidRPr="009C4B15" w:rsidRDefault="000618BE" w:rsidP="00B550BF">
            <w:pPr>
              <w:rPr>
                <w:lang w:eastAsia="en-AU"/>
              </w:rPr>
            </w:pPr>
            <w:r w:rsidRPr="009C4B15">
              <w:rPr>
                <w:lang w:eastAsia="en-AU"/>
              </w:rPr>
              <w:t>The NDIS Quality and Safeguards Commission is working well with providers</w:t>
            </w:r>
          </w:p>
        </w:tc>
        <w:tc>
          <w:tcPr>
            <w:tcW w:w="1559" w:type="dxa"/>
            <w:tcBorders>
              <w:top w:val="nil"/>
              <w:left w:val="nil"/>
              <w:bottom w:val="single" w:sz="4" w:space="0" w:color="auto"/>
              <w:right w:val="single" w:sz="4" w:space="0" w:color="auto"/>
            </w:tcBorders>
            <w:shd w:val="clear" w:color="auto" w:fill="auto"/>
            <w:noWrap/>
            <w:vAlign w:val="center"/>
            <w:hideMark/>
          </w:tcPr>
          <w:p w14:paraId="20365741" w14:textId="77777777" w:rsidR="000618BE" w:rsidRPr="009C4B15" w:rsidRDefault="000618BE" w:rsidP="00B550BF">
            <w:pPr>
              <w:rPr>
                <w:lang w:eastAsia="en-AU"/>
              </w:rPr>
            </w:pPr>
            <w:r w:rsidRPr="009C4B15">
              <w:rPr>
                <w:lang w:eastAsia="en-AU"/>
              </w:rPr>
              <w:t>60 per cent</w:t>
            </w:r>
          </w:p>
        </w:tc>
        <w:tc>
          <w:tcPr>
            <w:tcW w:w="1843" w:type="dxa"/>
            <w:tcBorders>
              <w:top w:val="nil"/>
              <w:left w:val="nil"/>
              <w:bottom w:val="single" w:sz="4" w:space="0" w:color="auto"/>
              <w:right w:val="single" w:sz="4" w:space="0" w:color="auto"/>
            </w:tcBorders>
            <w:shd w:val="clear" w:color="auto" w:fill="auto"/>
            <w:noWrap/>
            <w:vAlign w:val="center"/>
            <w:hideMark/>
          </w:tcPr>
          <w:p w14:paraId="5FBE15FA" w14:textId="77777777" w:rsidR="000618BE" w:rsidRPr="009C4B15" w:rsidRDefault="000618BE" w:rsidP="00B550BF">
            <w:pPr>
              <w:rPr>
                <w:lang w:eastAsia="en-AU"/>
              </w:rPr>
            </w:pPr>
            <w:r w:rsidRPr="009C4B15">
              <w:rPr>
                <w:lang w:eastAsia="en-AU"/>
              </w:rPr>
              <w:t>27 per cent</w:t>
            </w:r>
          </w:p>
        </w:tc>
        <w:tc>
          <w:tcPr>
            <w:tcW w:w="1933" w:type="dxa"/>
            <w:tcBorders>
              <w:top w:val="nil"/>
              <w:left w:val="nil"/>
              <w:bottom w:val="single" w:sz="4" w:space="0" w:color="auto"/>
              <w:right w:val="single" w:sz="4" w:space="0" w:color="auto"/>
            </w:tcBorders>
            <w:shd w:val="clear" w:color="auto" w:fill="auto"/>
            <w:noWrap/>
            <w:vAlign w:val="center"/>
            <w:hideMark/>
          </w:tcPr>
          <w:p w14:paraId="1A5E0EF5" w14:textId="77777777" w:rsidR="000618BE" w:rsidRPr="009C4B15" w:rsidRDefault="000618BE" w:rsidP="00B550BF">
            <w:pPr>
              <w:rPr>
                <w:lang w:eastAsia="en-AU"/>
              </w:rPr>
            </w:pPr>
            <w:r w:rsidRPr="009C4B15">
              <w:rPr>
                <w:lang w:eastAsia="en-AU"/>
              </w:rPr>
              <w:t>13 per cent</w:t>
            </w:r>
          </w:p>
        </w:tc>
      </w:tr>
      <w:tr w:rsidR="000618BE" w:rsidRPr="009C4B15" w14:paraId="371DD82F"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CA3CAD0" w14:textId="77777777" w:rsidR="000618BE" w:rsidRPr="009C4B15" w:rsidRDefault="000618BE" w:rsidP="00B550BF">
            <w:pPr>
              <w:rPr>
                <w:lang w:eastAsia="en-AU"/>
              </w:rPr>
            </w:pPr>
            <w:r w:rsidRPr="009C4B15">
              <w:rPr>
                <w:lang w:eastAsia="en-AU"/>
              </w:rPr>
              <w:t>The systems and processes in the NDIS are working well</w:t>
            </w:r>
          </w:p>
        </w:tc>
        <w:tc>
          <w:tcPr>
            <w:tcW w:w="1559" w:type="dxa"/>
            <w:tcBorders>
              <w:top w:val="nil"/>
              <w:left w:val="nil"/>
              <w:bottom w:val="single" w:sz="4" w:space="0" w:color="auto"/>
              <w:right w:val="single" w:sz="4" w:space="0" w:color="auto"/>
            </w:tcBorders>
            <w:shd w:val="clear" w:color="auto" w:fill="auto"/>
            <w:noWrap/>
            <w:vAlign w:val="center"/>
            <w:hideMark/>
          </w:tcPr>
          <w:p w14:paraId="62A87B2E" w14:textId="77777777" w:rsidR="000618BE" w:rsidRPr="009C4B15" w:rsidRDefault="000618BE" w:rsidP="00B550BF">
            <w:pPr>
              <w:rPr>
                <w:lang w:eastAsia="en-AU"/>
              </w:rPr>
            </w:pPr>
            <w:r w:rsidRPr="009C4B15">
              <w:rPr>
                <w:lang w:eastAsia="en-AU"/>
              </w:rPr>
              <w:t>87 per cent</w:t>
            </w:r>
          </w:p>
        </w:tc>
        <w:tc>
          <w:tcPr>
            <w:tcW w:w="1843" w:type="dxa"/>
            <w:tcBorders>
              <w:top w:val="nil"/>
              <w:left w:val="nil"/>
              <w:bottom w:val="single" w:sz="4" w:space="0" w:color="auto"/>
              <w:right w:val="single" w:sz="4" w:space="0" w:color="auto"/>
            </w:tcBorders>
            <w:shd w:val="clear" w:color="auto" w:fill="auto"/>
            <w:noWrap/>
            <w:vAlign w:val="center"/>
            <w:hideMark/>
          </w:tcPr>
          <w:p w14:paraId="748A8A05" w14:textId="77777777" w:rsidR="000618BE" w:rsidRPr="009C4B15" w:rsidRDefault="000618BE" w:rsidP="00B550BF">
            <w:pPr>
              <w:rPr>
                <w:lang w:eastAsia="en-AU"/>
              </w:rPr>
            </w:pPr>
            <w:r w:rsidRPr="009C4B15">
              <w:rPr>
                <w:lang w:eastAsia="en-AU"/>
              </w:rPr>
              <w:t>9 per cent</w:t>
            </w:r>
          </w:p>
        </w:tc>
        <w:tc>
          <w:tcPr>
            <w:tcW w:w="1933" w:type="dxa"/>
            <w:tcBorders>
              <w:top w:val="nil"/>
              <w:left w:val="nil"/>
              <w:bottom w:val="single" w:sz="4" w:space="0" w:color="auto"/>
              <w:right w:val="single" w:sz="4" w:space="0" w:color="auto"/>
            </w:tcBorders>
            <w:shd w:val="clear" w:color="auto" w:fill="auto"/>
            <w:noWrap/>
            <w:vAlign w:val="center"/>
            <w:hideMark/>
          </w:tcPr>
          <w:p w14:paraId="01DDDAC1" w14:textId="77777777" w:rsidR="000618BE" w:rsidRPr="009C4B15" w:rsidRDefault="000618BE" w:rsidP="00B550BF">
            <w:pPr>
              <w:rPr>
                <w:lang w:eastAsia="en-AU"/>
              </w:rPr>
            </w:pPr>
            <w:r w:rsidRPr="009C4B15">
              <w:rPr>
                <w:lang w:eastAsia="en-AU"/>
              </w:rPr>
              <w:t>3 per cent</w:t>
            </w:r>
          </w:p>
        </w:tc>
      </w:tr>
      <w:tr w:rsidR="000618BE" w:rsidRPr="009C4B15" w14:paraId="6D2F0FD0"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EFB5427" w14:textId="77777777" w:rsidR="000618BE" w:rsidRPr="009C4B15" w:rsidRDefault="000618BE" w:rsidP="00B550BF">
            <w:pPr>
              <w:rPr>
                <w:lang w:eastAsia="en-AU"/>
              </w:rPr>
            </w:pPr>
            <w:r w:rsidRPr="009C4B15">
              <w:rPr>
                <w:lang w:eastAsia="en-AU"/>
              </w:rPr>
              <w:t>There is sufficient advocacy for the people we support</w:t>
            </w:r>
          </w:p>
        </w:tc>
        <w:tc>
          <w:tcPr>
            <w:tcW w:w="1559" w:type="dxa"/>
            <w:tcBorders>
              <w:top w:val="nil"/>
              <w:left w:val="nil"/>
              <w:bottom w:val="single" w:sz="4" w:space="0" w:color="auto"/>
              <w:right w:val="single" w:sz="4" w:space="0" w:color="auto"/>
            </w:tcBorders>
            <w:shd w:val="clear" w:color="auto" w:fill="auto"/>
            <w:noWrap/>
            <w:vAlign w:val="center"/>
            <w:hideMark/>
          </w:tcPr>
          <w:p w14:paraId="5AD814D0" w14:textId="77777777" w:rsidR="000618BE" w:rsidRPr="009C4B15" w:rsidRDefault="000618BE" w:rsidP="00B550BF">
            <w:pPr>
              <w:rPr>
                <w:lang w:eastAsia="en-AU"/>
              </w:rPr>
            </w:pPr>
            <w:r w:rsidRPr="009C4B15">
              <w:rPr>
                <w:lang w:eastAsia="en-AU"/>
              </w:rPr>
              <w:t>72 per cent</w:t>
            </w:r>
          </w:p>
        </w:tc>
        <w:tc>
          <w:tcPr>
            <w:tcW w:w="1843" w:type="dxa"/>
            <w:tcBorders>
              <w:top w:val="nil"/>
              <w:left w:val="nil"/>
              <w:bottom w:val="single" w:sz="4" w:space="0" w:color="auto"/>
              <w:right w:val="single" w:sz="4" w:space="0" w:color="auto"/>
            </w:tcBorders>
            <w:shd w:val="clear" w:color="auto" w:fill="auto"/>
            <w:noWrap/>
            <w:vAlign w:val="center"/>
            <w:hideMark/>
          </w:tcPr>
          <w:p w14:paraId="2EA355B1" w14:textId="77777777" w:rsidR="000618BE" w:rsidRPr="009C4B15" w:rsidRDefault="000618BE" w:rsidP="00B550BF">
            <w:pPr>
              <w:rPr>
                <w:lang w:eastAsia="en-AU"/>
              </w:rPr>
            </w:pPr>
            <w:r w:rsidRPr="009C4B15">
              <w:rPr>
                <w:lang w:eastAsia="en-AU"/>
              </w:rPr>
              <w:t>15 per cent</w:t>
            </w:r>
          </w:p>
        </w:tc>
        <w:tc>
          <w:tcPr>
            <w:tcW w:w="1933" w:type="dxa"/>
            <w:tcBorders>
              <w:top w:val="nil"/>
              <w:left w:val="nil"/>
              <w:bottom w:val="single" w:sz="4" w:space="0" w:color="auto"/>
              <w:right w:val="single" w:sz="4" w:space="0" w:color="auto"/>
            </w:tcBorders>
            <w:shd w:val="clear" w:color="auto" w:fill="auto"/>
            <w:noWrap/>
            <w:vAlign w:val="center"/>
            <w:hideMark/>
          </w:tcPr>
          <w:p w14:paraId="4B1B30E1" w14:textId="77777777" w:rsidR="000618BE" w:rsidRPr="009C4B15" w:rsidRDefault="000618BE" w:rsidP="00B550BF">
            <w:pPr>
              <w:rPr>
                <w:lang w:eastAsia="en-AU"/>
              </w:rPr>
            </w:pPr>
            <w:r w:rsidRPr="009C4B15">
              <w:rPr>
                <w:lang w:eastAsia="en-AU"/>
              </w:rPr>
              <w:t>13 per cent</w:t>
            </w:r>
          </w:p>
        </w:tc>
      </w:tr>
      <w:tr w:rsidR="000618BE" w:rsidRPr="009C4B15" w14:paraId="5986C33E"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17E83DE" w14:textId="77777777" w:rsidR="000618BE" w:rsidRPr="009C4B15" w:rsidRDefault="000618BE" w:rsidP="00B550BF">
            <w:pPr>
              <w:rPr>
                <w:lang w:eastAsia="en-AU"/>
              </w:rPr>
            </w:pPr>
            <w:r w:rsidRPr="009C4B15">
              <w:rPr>
                <w:lang w:eastAsia="en-AU"/>
              </w:rPr>
              <w:t>Helping people understand and navigate the scheme is taking us away from service provision</w:t>
            </w:r>
          </w:p>
        </w:tc>
        <w:tc>
          <w:tcPr>
            <w:tcW w:w="1559" w:type="dxa"/>
            <w:tcBorders>
              <w:top w:val="nil"/>
              <w:left w:val="nil"/>
              <w:bottom w:val="single" w:sz="4" w:space="0" w:color="auto"/>
              <w:right w:val="single" w:sz="4" w:space="0" w:color="auto"/>
            </w:tcBorders>
            <w:shd w:val="clear" w:color="auto" w:fill="auto"/>
            <w:noWrap/>
            <w:vAlign w:val="center"/>
            <w:hideMark/>
          </w:tcPr>
          <w:p w14:paraId="2D95A54E" w14:textId="77777777" w:rsidR="000618BE" w:rsidRPr="009C4B15" w:rsidRDefault="000618BE" w:rsidP="00B550BF">
            <w:pPr>
              <w:rPr>
                <w:lang w:eastAsia="en-AU"/>
              </w:rPr>
            </w:pPr>
            <w:r w:rsidRPr="009C4B15">
              <w:rPr>
                <w:lang w:eastAsia="en-AU"/>
              </w:rPr>
              <w:t>10 per cent</w:t>
            </w:r>
          </w:p>
        </w:tc>
        <w:tc>
          <w:tcPr>
            <w:tcW w:w="1843" w:type="dxa"/>
            <w:tcBorders>
              <w:top w:val="nil"/>
              <w:left w:val="nil"/>
              <w:bottom w:val="single" w:sz="4" w:space="0" w:color="auto"/>
              <w:right w:val="single" w:sz="4" w:space="0" w:color="auto"/>
            </w:tcBorders>
            <w:shd w:val="clear" w:color="auto" w:fill="auto"/>
            <w:noWrap/>
            <w:vAlign w:val="center"/>
            <w:hideMark/>
          </w:tcPr>
          <w:p w14:paraId="60F36A04" w14:textId="77777777" w:rsidR="000618BE" w:rsidRPr="009C4B15" w:rsidRDefault="000618BE" w:rsidP="00B550BF">
            <w:pPr>
              <w:rPr>
                <w:lang w:eastAsia="en-AU"/>
              </w:rPr>
            </w:pPr>
            <w:r w:rsidRPr="009C4B15">
              <w:rPr>
                <w:lang w:eastAsia="en-AU"/>
              </w:rPr>
              <w:t>14 per cent</w:t>
            </w:r>
          </w:p>
        </w:tc>
        <w:tc>
          <w:tcPr>
            <w:tcW w:w="1933" w:type="dxa"/>
            <w:tcBorders>
              <w:top w:val="nil"/>
              <w:left w:val="nil"/>
              <w:bottom w:val="single" w:sz="4" w:space="0" w:color="auto"/>
              <w:right w:val="single" w:sz="4" w:space="0" w:color="auto"/>
            </w:tcBorders>
            <w:shd w:val="clear" w:color="auto" w:fill="auto"/>
            <w:noWrap/>
            <w:vAlign w:val="center"/>
            <w:hideMark/>
          </w:tcPr>
          <w:p w14:paraId="7536FCA2" w14:textId="77777777" w:rsidR="000618BE" w:rsidRPr="009C4B15" w:rsidRDefault="000618BE" w:rsidP="00B550BF">
            <w:pPr>
              <w:rPr>
                <w:lang w:eastAsia="en-AU"/>
              </w:rPr>
            </w:pPr>
            <w:r w:rsidRPr="009C4B15">
              <w:rPr>
                <w:lang w:eastAsia="en-AU"/>
              </w:rPr>
              <w:t>76 per cent</w:t>
            </w:r>
          </w:p>
        </w:tc>
      </w:tr>
      <w:tr w:rsidR="000618BE" w:rsidRPr="009C4B15" w14:paraId="17667BB6"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1FD0D0C" w14:textId="77777777" w:rsidR="000618BE" w:rsidRPr="009C4B15" w:rsidRDefault="000618BE" w:rsidP="00B550BF">
            <w:pPr>
              <w:rPr>
                <w:lang w:eastAsia="en-AU"/>
              </w:rPr>
            </w:pPr>
            <w:r w:rsidRPr="009C4B15">
              <w:rPr>
                <w:lang w:eastAsia="en-AU"/>
              </w:rPr>
              <w:t xml:space="preserve">There are too many unnecessary rules and regulations my organisation </w:t>
            </w:r>
            <w:proofErr w:type="gramStart"/>
            <w:r w:rsidRPr="009C4B15">
              <w:rPr>
                <w:lang w:eastAsia="en-AU"/>
              </w:rPr>
              <w:t>has to</w:t>
            </w:r>
            <w:proofErr w:type="gramEnd"/>
            <w:r w:rsidRPr="009C4B15">
              <w:rPr>
                <w:lang w:eastAsia="en-AU"/>
              </w:rPr>
              <w:t xml:space="preserve"> follow</w:t>
            </w:r>
          </w:p>
        </w:tc>
        <w:tc>
          <w:tcPr>
            <w:tcW w:w="1559" w:type="dxa"/>
            <w:tcBorders>
              <w:top w:val="nil"/>
              <w:left w:val="nil"/>
              <w:bottom w:val="single" w:sz="4" w:space="0" w:color="auto"/>
              <w:right w:val="single" w:sz="4" w:space="0" w:color="auto"/>
            </w:tcBorders>
            <w:shd w:val="clear" w:color="auto" w:fill="auto"/>
            <w:noWrap/>
            <w:vAlign w:val="center"/>
            <w:hideMark/>
          </w:tcPr>
          <w:p w14:paraId="03EA51F1" w14:textId="77777777" w:rsidR="000618BE" w:rsidRPr="009C4B15" w:rsidRDefault="000618BE" w:rsidP="00B550BF">
            <w:pPr>
              <w:rPr>
                <w:lang w:eastAsia="en-AU"/>
              </w:rPr>
            </w:pPr>
            <w:r w:rsidRPr="009C4B15">
              <w:rPr>
                <w:lang w:eastAsia="en-AU"/>
              </w:rPr>
              <w:t>15 per cent</w:t>
            </w:r>
          </w:p>
        </w:tc>
        <w:tc>
          <w:tcPr>
            <w:tcW w:w="1843" w:type="dxa"/>
            <w:tcBorders>
              <w:top w:val="nil"/>
              <w:left w:val="nil"/>
              <w:bottom w:val="single" w:sz="4" w:space="0" w:color="auto"/>
              <w:right w:val="single" w:sz="4" w:space="0" w:color="auto"/>
            </w:tcBorders>
            <w:shd w:val="clear" w:color="auto" w:fill="auto"/>
            <w:noWrap/>
            <w:vAlign w:val="center"/>
            <w:hideMark/>
          </w:tcPr>
          <w:p w14:paraId="4F563017" w14:textId="77777777" w:rsidR="000618BE" w:rsidRPr="009C4B15" w:rsidRDefault="000618BE" w:rsidP="00B550BF">
            <w:pPr>
              <w:rPr>
                <w:lang w:eastAsia="en-AU"/>
              </w:rPr>
            </w:pPr>
            <w:r w:rsidRPr="009C4B15">
              <w:rPr>
                <w:lang w:eastAsia="en-AU"/>
              </w:rPr>
              <w:t>22 per cent</w:t>
            </w:r>
          </w:p>
        </w:tc>
        <w:tc>
          <w:tcPr>
            <w:tcW w:w="1933" w:type="dxa"/>
            <w:tcBorders>
              <w:top w:val="nil"/>
              <w:left w:val="nil"/>
              <w:bottom w:val="single" w:sz="4" w:space="0" w:color="auto"/>
              <w:right w:val="single" w:sz="4" w:space="0" w:color="auto"/>
            </w:tcBorders>
            <w:shd w:val="clear" w:color="auto" w:fill="auto"/>
            <w:noWrap/>
            <w:vAlign w:val="center"/>
            <w:hideMark/>
          </w:tcPr>
          <w:p w14:paraId="387FBC45" w14:textId="77777777" w:rsidR="000618BE" w:rsidRPr="009C4B15" w:rsidRDefault="000618BE" w:rsidP="00B550BF">
            <w:pPr>
              <w:rPr>
                <w:lang w:eastAsia="en-AU"/>
              </w:rPr>
            </w:pPr>
            <w:r w:rsidRPr="009C4B15">
              <w:rPr>
                <w:lang w:eastAsia="en-AU"/>
              </w:rPr>
              <w:t>63 per cent</w:t>
            </w:r>
          </w:p>
        </w:tc>
      </w:tr>
      <w:tr w:rsidR="000618BE" w:rsidRPr="009C4B15" w14:paraId="1243C95C"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1A4A406" w14:textId="77777777" w:rsidR="000618BE" w:rsidRPr="009C4B15" w:rsidRDefault="000618BE" w:rsidP="00B550BF">
            <w:pPr>
              <w:rPr>
                <w:lang w:eastAsia="en-AU"/>
              </w:rPr>
            </w:pPr>
            <w:r w:rsidRPr="009C4B15">
              <w:rPr>
                <w:lang w:eastAsia="en-AU"/>
              </w:rPr>
              <w:t>Our staff are exhausted by ongoing changes in the NDIS</w:t>
            </w:r>
          </w:p>
        </w:tc>
        <w:tc>
          <w:tcPr>
            <w:tcW w:w="1559" w:type="dxa"/>
            <w:tcBorders>
              <w:top w:val="nil"/>
              <w:left w:val="nil"/>
              <w:bottom w:val="single" w:sz="4" w:space="0" w:color="auto"/>
              <w:right w:val="single" w:sz="4" w:space="0" w:color="auto"/>
            </w:tcBorders>
            <w:shd w:val="clear" w:color="auto" w:fill="auto"/>
            <w:noWrap/>
            <w:vAlign w:val="center"/>
            <w:hideMark/>
          </w:tcPr>
          <w:p w14:paraId="343548C8" w14:textId="77777777" w:rsidR="000618BE" w:rsidRPr="009C4B15" w:rsidRDefault="000618BE" w:rsidP="00B550BF">
            <w:pPr>
              <w:rPr>
                <w:lang w:eastAsia="en-AU"/>
              </w:rPr>
            </w:pPr>
            <w:r w:rsidRPr="009C4B15">
              <w:rPr>
                <w:lang w:eastAsia="en-AU"/>
              </w:rPr>
              <w:t>6 per cent</w:t>
            </w:r>
          </w:p>
        </w:tc>
        <w:tc>
          <w:tcPr>
            <w:tcW w:w="1843" w:type="dxa"/>
            <w:tcBorders>
              <w:top w:val="nil"/>
              <w:left w:val="nil"/>
              <w:bottom w:val="single" w:sz="4" w:space="0" w:color="auto"/>
              <w:right w:val="single" w:sz="4" w:space="0" w:color="auto"/>
            </w:tcBorders>
            <w:shd w:val="clear" w:color="auto" w:fill="auto"/>
            <w:noWrap/>
            <w:vAlign w:val="center"/>
            <w:hideMark/>
          </w:tcPr>
          <w:p w14:paraId="7B35E8E2" w14:textId="77777777" w:rsidR="000618BE" w:rsidRPr="009C4B15" w:rsidRDefault="000618BE" w:rsidP="00B550BF">
            <w:pPr>
              <w:rPr>
                <w:lang w:eastAsia="en-AU"/>
              </w:rPr>
            </w:pPr>
            <w:r w:rsidRPr="009C4B15">
              <w:rPr>
                <w:lang w:eastAsia="en-AU"/>
              </w:rPr>
              <w:t>15 per cent</w:t>
            </w:r>
          </w:p>
        </w:tc>
        <w:tc>
          <w:tcPr>
            <w:tcW w:w="1933" w:type="dxa"/>
            <w:tcBorders>
              <w:top w:val="nil"/>
              <w:left w:val="nil"/>
              <w:bottom w:val="single" w:sz="4" w:space="0" w:color="auto"/>
              <w:right w:val="single" w:sz="4" w:space="0" w:color="auto"/>
            </w:tcBorders>
            <w:shd w:val="clear" w:color="auto" w:fill="auto"/>
            <w:noWrap/>
            <w:vAlign w:val="center"/>
            <w:hideMark/>
          </w:tcPr>
          <w:p w14:paraId="5E342A33" w14:textId="77777777" w:rsidR="000618BE" w:rsidRPr="009C4B15" w:rsidRDefault="000618BE" w:rsidP="00B550BF">
            <w:pPr>
              <w:rPr>
                <w:lang w:eastAsia="en-AU"/>
              </w:rPr>
            </w:pPr>
            <w:r w:rsidRPr="009C4B15">
              <w:rPr>
                <w:lang w:eastAsia="en-AU"/>
              </w:rPr>
              <w:t>80 per cent</w:t>
            </w:r>
          </w:p>
        </w:tc>
      </w:tr>
      <w:tr w:rsidR="000618BE" w:rsidRPr="009C4B15" w14:paraId="152D70CE" w14:textId="77777777" w:rsidTr="00F91A85">
        <w:trPr>
          <w:trHeight w:val="60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D90984D" w14:textId="77777777" w:rsidR="000618BE" w:rsidRPr="009C4B15" w:rsidRDefault="000618BE" w:rsidP="00B550BF">
            <w:pPr>
              <w:rPr>
                <w:lang w:eastAsia="en-AU"/>
              </w:rPr>
            </w:pPr>
            <w:r w:rsidRPr="009C4B15">
              <w:rPr>
                <w:lang w:eastAsia="en-AU"/>
              </w:rPr>
              <w:t>My leadership team spends too much time on dealing with changes to the NDIS</w:t>
            </w:r>
          </w:p>
        </w:tc>
        <w:tc>
          <w:tcPr>
            <w:tcW w:w="1559" w:type="dxa"/>
            <w:tcBorders>
              <w:top w:val="nil"/>
              <w:left w:val="nil"/>
              <w:bottom w:val="single" w:sz="4" w:space="0" w:color="auto"/>
              <w:right w:val="single" w:sz="4" w:space="0" w:color="auto"/>
            </w:tcBorders>
            <w:shd w:val="clear" w:color="auto" w:fill="auto"/>
            <w:noWrap/>
            <w:vAlign w:val="center"/>
            <w:hideMark/>
          </w:tcPr>
          <w:p w14:paraId="3F2F9F8F" w14:textId="77777777" w:rsidR="000618BE" w:rsidRPr="009C4B15" w:rsidRDefault="000618BE" w:rsidP="00B550BF">
            <w:pPr>
              <w:rPr>
                <w:lang w:eastAsia="en-AU"/>
              </w:rPr>
            </w:pPr>
            <w:r w:rsidRPr="009C4B15">
              <w:rPr>
                <w:lang w:eastAsia="en-AU"/>
              </w:rPr>
              <w:t>5 per cent</w:t>
            </w:r>
          </w:p>
        </w:tc>
        <w:tc>
          <w:tcPr>
            <w:tcW w:w="1843" w:type="dxa"/>
            <w:tcBorders>
              <w:top w:val="nil"/>
              <w:left w:val="nil"/>
              <w:bottom w:val="single" w:sz="4" w:space="0" w:color="auto"/>
              <w:right w:val="single" w:sz="4" w:space="0" w:color="auto"/>
            </w:tcBorders>
            <w:shd w:val="clear" w:color="auto" w:fill="auto"/>
            <w:noWrap/>
            <w:vAlign w:val="center"/>
            <w:hideMark/>
          </w:tcPr>
          <w:p w14:paraId="210905C5" w14:textId="77777777" w:rsidR="000618BE" w:rsidRPr="009C4B15" w:rsidRDefault="000618BE" w:rsidP="00B550BF">
            <w:pPr>
              <w:rPr>
                <w:lang w:eastAsia="en-AU"/>
              </w:rPr>
            </w:pPr>
            <w:r w:rsidRPr="009C4B15">
              <w:rPr>
                <w:lang w:eastAsia="en-AU"/>
              </w:rPr>
              <w:t>13 per cent</w:t>
            </w:r>
          </w:p>
        </w:tc>
        <w:tc>
          <w:tcPr>
            <w:tcW w:w="1933" w:type="dxa"/>
            <w:tcBorders>
              <w:top w:val="nil"/>
              <w:left w:val="nil"/>
              <w:bottom w:val="single" w:sz="4" w:space="0" w:color="auto"/>
              <w:right w:val="single" w:sz="4" w:space="0" w:color="auto"/>
            </w:tcBorders>
            <w:shd w:val="clear" w:color="auto" w:fill="auto"/>
            <w:noWrap/>
            <w:vAlign w:val="center"/>
            <w:hideMark/>
          </w:tcPr>
          <w:p w14:paraId="722F21B7" w14:textId="77777777" w:rsidR="000618BE" w:rsidRPr="009C4B15" w:rsidRDefault="000618BE" w:rsidP="00B550BF">
            <w:pPr>
              <w:rPr>
                <w:lang w:eastAsia="en-AU"/>
              </w:rPr>
            </w:pPr>
            <w:r w:rsidRPr="009C4B15">
              <w:rPr>
                <w:lang w:eastAsia="en-AU"/>
              </w:rPr>
              <w:t>82 per cent</w:t>
            </w:r>
          </w:p>
        </w:tc>
      </w:tr>
    </w:tbl>
    <w:p w14:paraId="733B759E" w14:textId="77777777" w:rsidR="004316F3" w:rsidRDefault="00B021DF" w:rsidP="000618BE">
      <w:pPr>
        <w:pStyle w:val="NormalFirstAfterTable"/>
      </w:pPr>
      <w:r>
        <w:lastRenderedPageBreak/>
        <w:t>Nearly half of respondents (49 per cent) felt that NDIS policy reforms are not headed in the right direction. Eighty per cent of respondents indicated that their staff are exhausted by ongoing changes in the NDIS and 82 per cent felt that their leadership team spends too much time dealing with changes to the NDIS.</w:t>
      </w:r>
    </w:p>
    <w:p w14:paraId="4C8E33DC" w14:textId="7CB27519" w:rsidR="00B021DF" w:rsidRDefault="00B021DF" w:rsidP="0097062A">
      <w:r>
        <w:t>Trends over time demonstrate that the situation continues to deteriorate. In one of the most dramatic changes from last year, there was a 20 per cent increase in the proportion of respondents disagreeing with the statement “The NDIA is working well with providers”</w:t>
      </w:r>
      <w:r w:rsidR="007221F1">
        <w:t>,</w:t>
      </w:r>
      <w:r>
        <w:t xml:space="preserve"> with only five per cent agreeing with the statement</w:t>
      </w:r>
      <w:r w:rsidR="00A71DE1">
        <w:t xml:space="preserve"> while</w:t>
      </w:r>
      <w:r>
        <w:t xml:space="preserve"> 84 per cent disagreed</w:t>
      </w:r>
      <w:r w:rsidR="007B3F2D" w:rsidRPr="007B3F2D">
        <w:t xml:space="preserve"> </w:t>
      </w:r>
      <w:r w:rsidR="007B3F2D">
        <w:t xml:space="preserve">(see </w:t>
      </w:r>
      <w:r w:rsidR="007B3F2D">
        <w:fldChar w:fldCharType="begin"/>
      </w:r>
      <w:r w:rsidR="007B3F2D">
        <w:instrText xml:space="preserve"> REF _Ref183699423 \h </w:instrText>
      </w:r>
      <w:r w:rsidR="007B3F2D">
        <w:fldChar w:fldCharType="separate"/>
      </w:r>
      <w:r w:rsidR="009D342F">
        <w:t>Table </w:t>
      </w:r>
      <w:r w:rsidR="007B3F2D">
        <w:rPr>
          <w:noProof/>
        </w:rPr>
        <w:t>5</w:t>
      </w:r>
      <w:r w:rsidR="007B3F2D">
        <w:fldChar w:fldCharType="end"/>
      </w:r>
      <w:r w:rsidR="007B3F2D">
        <w:t>)</w:t>
      </w:r>
      <w:r>
        <w:t>.</w:t>
      </w:r>
    </w:p>
    <w:p w14:paraId="3F9FEDCE" w14:textId="3CE1BC58" w:rsidR="00B50CFF" w:rsidRDefault="009D342F" w:rsidP="005366DB">
      <w:pPr>
        <w:pStyle w:val="Caption"/>
      </w:pPr>
      <w:bookmarkStart w:id="23" w:name="_Ref183699423"/>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5</w:t>
      </w:r>
      <w:r w:rsidR="0007250B" w:rsidRPr="001A77F7">
        <w:rPr>
          <w:b/>
          <w:bCs/>
          <w:noProof/>
        </w:rPr>
        <w:fldChar w:fldCharType="end"/>
      </w:r>
      <w:bookmarkEnd w:id="23"/>
      <w:r w:rsidR="00B50CFF" w:rsidRPr="00993714">
        <w:t xml:space="preserve"> </w:t>
      </w:r>
      <w:r w:rsidR="00B50CFF" w:rsidRPr="0023170C">
        <w:t>The NDIA is working well with providers; disagree or strongly disagree</w:t>
      </w:r>
    </w:p>
    <w:tbl>
      <w:tblPr>
        <w:tblW w:w="4957" w:type="dxa"/>
        <w:tblLook w:val="04A0" w:firstRow="1" w:lastRow="0" w:firstColumn="1" w:lastColumn="0" w:noHBand="0" w:noVBand="1"/>
        <w:tblCaption w:val="Table 5 The NDIA is working well with providers; disagree or strongly disagree"/>
        <w:tblDescription w:val="A table showing the percentage of respondents who disagree or strongly disagree with the statement that the NDIA is working well with providers. Trend data from 2016 to 2024."/>
      </w:tblPr>
      <w:tblGrid>
        <w:gridCol w:w="1180"/>
        <w:gridCol w:w="3777"/>
      </w:tblGrid>
      <w:tr w:rsidR="000618BE" w:rsidRPr="00694141" w14:paraId="6D77BEA1" w14:textId="77777777" w:rsidTr="00694141">
        <w:trPr>
          <w:trHeight w:val="724"/>
          <w:tblHeader/>
        </w:trPr>
        <w:tc>
          <w:tcPr>
            <w:tcW w:w="11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C41491" w14:textId="77777777" w:rsidR="000618BE" w:rsidRPr="00694141" w:rsidRDefault="000618BE" w:rsidP="00694141">
            <w:pPr>
              <w:rPr>
                <w:b/>
                <w:bCs/>
                <w:lang w:eastAsia="en-AU"/>
              </w:rPr>
            </w:pPr>
            <w:bookmarkStart w:id="24" w:name="Title_Table_5"/>
            <w:bookmarkEnd w:id="24"/>
            <w:r w:rsidRPr="00694141">
              <w:rPr>
                <w:b/>
                <w:bCs/>
                <w:lang w:eastAsia="en-AU"/>
              </w:rPr>
              <w:t>Year</w:t>
            </w:r>
          </w:p>
        </w:tc>
        <w:tc>
          <w:tcPr>
            <w:tcW w:w="3777" w:type="dxa"/>
            <w:tcBorders>
              <w:top w:val="single" w:sz="4" w:space="0" w:color="auto"/>
              <w:left w:val="nil"/>
              <w:bottom w:val="single" w:sz="4" w:space="0" w:color="auto"/>
              <w:right w:val="single" w:sz="4" w:space="0" w:color="auto"/>
            </w:tcBorders>
            <w:shd w:val="clear" w:color="000000" w:fill="D9D9D9"/>
            <w:vAlign w:val="center"/>
            <w:hideMark/>
          </w:tcPr>
          <w:p w14:paraId="4D55BE70" w14:textId="77777777" w:rsidR="000618BE" w:rsidRPr="00694141" w:rsidRDefault="000618BE" w:rsidP="00694141">
            <w:pPr>
              <w:rPr>
                <w:b/>
                <w:bCs/>
                <w:lang w:eastAsia="en-AU"/>
              </w:rPr>
            </w:pPr>
            <w:r w:rsidRPr="00694141">
              <w:rPr>
                <w:b/>
                <w:bCs/>
                <w:lang w:eastAsia="en-AU"/>
              </w:rPr>
              <w:t>Disagree or strongly disagree</w:t>
            </w:r>
          </w:p>
        </w:tc>
      </w:tr>
      <w:tr w:rsidR="000618BE" w:rsidRPr="00E42295" w14:paraId="7D6549EC"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5D90E91"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2016</w:t>
            </w:r>
          </w:p>
        </w:tc>
        <w:tc>
          <w:tcPr>
            <w:tcW w:w="3777" w:type="dxa"/>
            <w:tcBorders>
              <w:top w:val="nil"/>
              <w:left w:val="nil"/>
              <w:bottom w:val="single" w:sz="4" w:space="0" w:color="auto"/>
              <w:right w:val="single" w:sz="4" w:space="0" w:color="auto"/>
            </w:tcBorders>
            <w:shd w:val="clear" w:color="auto" w:fill="auto"/>
            <w:noWrap/>
            <w:vAlign w:val="center"/>
            <w:hideMark/>
          </w:tcPr>
          <w:p w14:paraId="13108FB2"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57</w:t>
            </w:r>
            <w:r>
              <w:rPr>
                <w:rFonts w:eastAsia="Times New Roman"/>
                <w:color w:val="000000"/>
                <w:kern w:val="0"/>
                <w:lang w:eastAsia="en-AU"/>
                <w14:ligatures w14:val="none"/>
              </w:rPr>
              <w:t xml:space="preserve"> per cent</w:t>
            </w:r>
          </w:p>
        </w:tc>
      </w:tr>
      <w:tr w:rsidR="000618BE" w:rsidRPr="00E42295" w14:paraId="1320523D"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D1CDA9"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2017</w:t>
            </w:r>
          </w:p>
        </w:tc>
        <w:tc>
          <w:tcPr>
            <w:tcW w:w="3777" w:type="dxa"/>
            <w:tcBorders>
              <w:top w:val="nil"/>
              <w:left w:val="nil"/>
              <w:bottom w:val="single" w:sz="4" w:space="0" w:color="auto"/>
              <w:right w:val="single" w:sz="4" w:space="0" w:color="auto"/>
            </w:tcBorders>
            <w:shd w:val="clear" w:color="auto" w:fill="auto"/>
            <w:noWrap/>
            <w:vAlign w:val="center"/>
            <w:hideMark/>
          </w:tcPr>
          <w:p w14:paraId="58CB87A9"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67</w:t>
            </w:r>
            <w:r>
              <w:rPr>
                <w:rFonts w:eastAsia="Times New Roman"/>
                <w:color w:val="000000"/>
                <w:kern w:val="0"/>
                <w:lang w:eastAsia="en-AU"/>
                <w14:ligatures w14:val="none"/>
              </w:rPr>
              <w:t xml:space="preserve"> per cent</w:t>
            </w:r>
          </w:p>
        </w:tc>
      </w:tr>
      <w:tr w:rsidR="000618BE" w:rsidRPr="00E42295" w14:paraId="03A1EB23"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9FF9A97"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2018</w:t>
            </w:r>
          </w:p>
        </w:tc>
        <w:tc>
          <w:tcPr>
            <w:tcW w:w="3777" w:type="dxa"/>
            <w:tcBorders>
              <w:top w:val="nil"/>
              <w:left w:val="nil"/>
              <w:bottom w:val="single" w:sz="4" w:space="0" w:color="auto"/>
              <w:right w:val="single" w:sz="4" w:space="0" w:color="auto"/>
            </w:tcBorders>
            <w:shd w:val="clear" w:color="auto" w:fill="auto"/>
            <w:noWrap/>
            <w:vAlign w:val="center"/>
            <w:hideMark/>
          </w:tcPr>
          <w:p w14:paraId="3DDA880B"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62</w:t>
            </w:r>
            <w:r>
              <w:rPr>
                <w:rFonts w:eastAsia="Times New Roman"/>
                <w:color w:val="000000"/>
                <w:kern w:val="0"/>
                <w:lang w:eastAsia="en-AU"/>
                <w14:ligatures w14:val="none"/>
              </w:rPr>
              <w:t xml:space="preserve"> per cent</w:t>
            </w:r>
          </w:p>
        </w:tc>
      </w:tr>
      <w:tr w:rsidR="000618BE" w:rsidRPr="00E42295" w14:paraId="13F5BBC8"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5C648B9"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2019</w:t>
            </w:r>
          </w:p>
        </w:tc>
        <w:tc>
          <w:tcPr>
            <w:tcW w:w="3777" w:type="dxa"/>
            <w:tcBorders>
              <w:top w:val="nil"/>
              <w:left w:val="nil"/>
              <w:bottom w:val="single" w:sz="4" w:space="0" w:color="auto"/>
              <w:right w:val="single" w:sz="4" w:space="0" w:color="auto"/>
            </w:tcBorders>
            <w:shd w:val="clear" w:color="auto" w:fill="auto"/>
            <w:noWrap/>
            <w:vAlign w:val="center"/>
            <w:hideMark/>
          </w:tcPr>
          <w:p w14:paraId="52E0C516"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56</w:t>
            </w:r>
            <w:r>
              <w:rPr>
                <w:rFonts w:eastAsia="Times New Roman"/>
                <w:color w:val="000000"/>
                <w:kern w:val="0"/>
                <w:lang w:eastAsia="en-AU"/>
                <w14:ligatures w14:val="none"/>
              </w:rPr>
              <w:t xml:space="preserve"> per cent</w:t>
            </w:r>
          </w:p>
        </w:tc>
      </w:tr>
      <w:tr w:rsidR="000618BE" w:rsidRPr="00E42295" w14:paraId="380BE325"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5319284"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2020</w:t>
            </w:r>
          </w:p>
        </w:tc>
        <w:tc>
          <w:tcPr>
            <w:tcW w:w="3777" w:type="dxa"/>
            <w:tcBorders>
              <w:top w:val="nil"/>
              <w:left w:val="nil"/>
              <w:bottom w:val="single" w:sz="4" w:space="0" w:color="auto"/>
              <w:right w:val="single" w:sz="4" w:space="0" w:color="auto"/>
            </w:tcBorders>
            <w:shd w:val="clear" w:color="auto" w:fill="auto"/>
            <w:noWrap/>
            <w:vAlign w:val="center"/>
            <w:hideMark/>
          </w:tcPr>
          <w:p w14:paraId="69CEA7E5"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54</w:t>
            </w:r>
            <w:r>
              <w:rPr>
                <w:rFonts w:eastAsia="Times New Roman"/>
                <w:color w:val="000000"/>
                <w:kern w:val="0"/>
                <w:lang w:eastAsia="en-AU"/>
                <w14:ligatures w14:val="none"/>
              </w:rPr>
              <w:t xml:space="preserve"> per cent</w:t>
            </w:r>
          </w:p>
        </w:tc>
      </w:tr>
      <w:tr w:rsidR="000618BE" w:rsidRPr="00E42295" w14:paraId="37617D3E"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B15CBF2"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2021</w:t>
            </w:r>
          </w:p>
        </w:tc>
        <w:tc>
          <w:tcPr>
            <w:tcW w:w="3777" w:type="dxa"/>
            <w:tcBorders>
              <w:top w:val="nil"/>
              <w:left w:val="nil"/>
              <w:bottom w:val="single" w:sz="4" w:space="0" w:color="auto"/>
              <w:right w:val="single" w:sz="4" w:space="0" w:color="auto"/>
            </w:tcBorders>
            <w:shd w:val="clear" w:color="auto" w:fill="auto"/>
            <w:noWrap/>
            <w:vAlign w:val="center"/>
            <w:hideMark/>
          </w:tcPr>
          <w:p w14:paraId="4E3DE405"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61</w:t>
            </w:r>
            <w:r>
              <w:rPr>
                <w:rFonts w:eastAsia="Times New Roman"/>
                <w:color w:val="000000"/>
                <w:kern w:val="0"/>
                <w:lang w:eastAsia="en-AU"/>
                <w14:ligatures w14:val="none"/>
              </w:rPr>
              <w:t xml:space="preserve"> per cent</w:t>
            </w:r>
          </w:p>
        </w:tc>
      </w:tr>
      <w:tr w:rsidR="000618BE" w:rsidRPr="00E42295" w14:paraId="7838CA0E"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20E7CCE"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2022</w:t>
            </w:r>
          </w:p>
        </w:tc>
        <w:tc>
          <w:tcPr>
            <w:tcW w:w="3777" w:type="dxa"/>
            <w:tcBorders>
              <w:top w:val="nil"/>
              <w:left w:val="nil"/>
              <w:bottom w:val="single" w:sz="4" w:space="0" w:color="auto"/>
              <w:right w:val="single" w:sz="4" w:space="0" w:color="auto"/>
            </w:tcBorders>
            <w:shd w:val="clear" w:color="auto" w:fill="auto"/>
            <w:noWrap/>
            <w:vAlign w:val="center"/>
            <w:hideMark/>
          </w:tcPr>
          <w:p w14:paraId="70D6B709"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64</w:t>
            </w:r>
            <w:r>
              <w:rPr>
                <w:rFonts w:eastAsia="Times New Roman"/>
                <w:color w:val="000000"/>
                <w:kern w:val="0"/>
                <w:lang w:eastAsia="en-AU"/>
                <w14:ligatures w14:val="none"/>
              </w:rPr>
              <w:t xml:space="preserve"> per cent</w:t>
            </w:r>
          </w:p>
        </w:tc>
      </w:tr>
      <w:tr w:rsidR="000618BE" w:rsidRPr="00E42295" w14:paraId="16963DA7"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5AC699B"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2023</w:t>
            </w:r>
          </w:p>
        </w:tc>
        <w:tc>
          <w:tcPr>
            <w:tcW w:w="3777" w:type="dxa"/>
            <w:tcBorders>
              <w:top w:val="nil"/>
              <w:left w:val="nil"/>
              <w:bottom w:val="single" w:sz="4" w:space="0" w:color="auto"/>
              <w:right w:val="single" w:sz="4" w:space="0" w:color="auto"/>
            </w:tcBorders>
            <w:shd w:val="clear" w:color="auto" w:fill="auto"/>
            <w:noWrap/>
            <w:vAlign w:val="center"/>
            <w:hideMark/>
          </w:tcPr>
          <w:p w14:paraId="325C3627"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64</w:t>
            </w:r>
            <w:r>
              <w:rPr>
                <w:rFonts w:eastAsia="Times New Roman"/>
                <w:color w:val="000000"/>
                <w:kern w:val="0"/>
                <w:lang w:eastAsia="en-AU"/>
                <w14:ligatures w14:val="none"/>
              </w:rPr>
              <w:t xml:space="preserve"> per cent</w:t>
            </w:r>
          </w:p>
        </w:tc>
      </w:tr>
      <w:tr w:rsidR="000618BE" w:rsidRPr="00E42295" w14:paraId="173B99F7"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CC7EE16"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2024</w:t>
            </w:r>
          </w:p>
        </w:tc>
        <w:tc>
          <w:tcPr>
            <w:tcW w:w="3777" w:type="dxa"/>
            <w:tcBorders>
              <w:top w:val="nil"/>
              <w:left w:val="nil"/>
              <w:bottom w:val="single" w:sz="4" w:space="0" w:color="auto"/>
              <w:right w:val="single" w:sz="4" w:space="0" w:color="auto"/>
            </w:tcBorders>
            <w:shd w:val="clear" w:color="auto" w:fill="auto"/>
            <w:noWrap/>
            <w:vAlign w:val="center"/>
            <w:hideMark/>
          </w:tcPr>
          <w:p w14:paraId="3D05813B" w14:textId="77777777" w:rsidR="000618BE" w:rsidRPr="00E42295" w:rsidRDefault="000618BE" w:rsidP="000552EE">
            <w:pPr>
              <w:rPr>
                <w:rFonts w:eastAsia="Times New Roman"/>
                <w:color w:val="000000"/>
                <w:kern w:val="0"/>
                <w:lang w:eastAsia="en-AU"/>
                <w14:ligatures w14:val="none"/>
              </w:rPr>
            </w:pPr>
            <w:r w:rsidRPr="00E42295">
              <w:rPr>
                <w:rFonts w:eastAsia="Times New Roman"/>
                <w:color w:val="000000"/>
                <w:kern w:val="0"/>
                <w:lang w:eastAsia="en-AU"/>
                <w14:ligatures w14:val="none"/>
              </w:rPr>
              <w:t>84</w:t>
            </w:r>
            <w:r>
              <w:rPr>
                <w:rFonts w:eastAsia="Times New Roman"/>
                <w:color w:val="000000"/>
                <w:kern w:val="0"/>
                <w:lang w:eastAsia="en-AU"/>
                <w14:ligatures w14:val="none"/>
              </w:rPr>
              <w:t xml:space="preserve"> per cent</w:t>
            </w:r>
          </w:p>
        </w:tc>
      </w:tr>
    </w:tbl>
    <w:p w14:paraId="13823847" w14:textId="6667912A" w:rsidR="004316F3" w:rsidRDefault="00B021DF" w:rsidP="00985450">
      <w:pPr>
        <w:pStyle w:val="NormalFirstAfterTable"/>
      </w:pPr>
      <w:r>
        <w:t>There is also increasing uncertainty in the sector, with 91 per cent of respondents indicating that they find the NDIS policy environment uncertain</w:t>
      </w:r>
      <w:r w:rsidR="007B3F2D" w:rsidRPr="007B3F2D">
        <w:t xml:space="preserve"> </w:t>
      </w:r>
      <w:r w:rsidR="007B3F2D">
        <w:t xml:space="preserve">(see </w:t>
      </w:r>
      <w:r w:rsidR="007B3F2D">
        <w:fldChar w:fldCharType="begin"/>
      </w:r>
      <w:r w:rsidR="007B3F2D">
        <w:instrText xml:space="preserve"> REF _Ref183699455 \h </w:instrText>
      </w:r>
      <w:r w:rsidR="00985450">
        <w:instrText xml:space="preserve"> \* MERGEFORMAT </w:instrText>
      </w:r>
      <w:r w:rsidR="007B3F2D">
        <w:fldChar w:fldCharType="separate"/>
      </w:r>
      <w:r w:rsidR="009D342F">
        <w:t>Table </w:t>
      </w:r>
      <w:r w:rsidR="007B3F2D">
        <w:rPr>
          <w:noProof/>
        </w:rPr>
        <w:t>6</w:t>
      </w:r>
      <w:r w:rsidR="007B3F2D">
        <w:fldChar w:fldCharType="end"/>
      </w:r>
      <w:r w:rsidR="007B3F2D">
        <w:t>)</w:t>
      </w:r>
      <w:r>
        <w:t>. Over half of respondents (57 per cent) felt that the risks the NDIS presents to their organisations outweighs the opportunities and 80 per cent were worried they would not be able to provide NDIS ser</w:t>
      </w:r>
      <w:r w:rsidR="00FD2F5E">
        <w:t>v</w:t>
      </w:r>
      <w:r w:rsidR="097EDEB4">
        <w:t>ic</w:t>
      </w:r>
      <w:r>
        <w:t>es at current prices</w:t>
      </w:r>
      <w:r w:rsidR="007B3F2D">
        <w:t xml:space="preserve"> (see </w:t>
      </w:r>
      <w:r w:rsidR="007B3F2D">
        <w:fldChar w:fldCharType="begin"/>
      </w:r>
      <w:r w:rsidR="007B3F2D">
        <w:instrText xml:space="preserve"> REF _Ref183699494 \h </w:instrText>
      </w:r>
      <w:r w:rsidR="00985450">
        <w:instrText xml:space="preserve"> \* MERGEFORMAT </w:instrText>
      </w:r>
      <w:r w:rsidR="007B3F2D">
        <w:fldChar w:fldCharType="separate"/>
      </w:r>
      <w:r w:rsidR="009D342F">
        <w:t>Table </w:t>
      </w:r>
      <w:r w:rsidR="007B3F2D">
        <w:rPr>
          <w:noProof/>
        </w:rPr>
        <w:t>7</w:t>
      </w:r>
      <w:r w:rsidR="007B3F2D">
        <w:fldChar w:fldCharType="end"/>
      </w:r>
      <w:r w:rsidR="007B3F2D">
        <w:t>)</w:t>
      </w:r>
      <w:r>
        <w:t>. Only three per cent of respondents felt that the systems and processes in the NDIS are working well.</w:t>
      </w:r>
    </w:p>
    <w:p w14:paraId="5A210B9F" w14:textId="5DB0A64D" w:rsidR="00B50CFF" w:rsidRDefault="009D342F" w:rsidP="005366DB">
      <w:pPr>
        <w:pStyle w:val="Caption"/>
      </w:pPr>
      <w:bookmarkStart w:id="25" w:name="_Ref183699455"/>
      <w:r w:rsidRPr="001A77F7">
        <w:rPr>
          <w:b/>
          <w:bCs/>
        </w:rPr>
        <w:lastRenderedPageBreak/>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6</w:t>
      </w:r>
      <w:r w:rsidR="0007250B" w:rsidRPr="001A77F7">
        <w:rPr>
          <w:b/>
          <w:bCs/>
          <w:noProof/>
        </w:rPr>
        <w:fldChar w:fldCharType="end"/>
      </w:r>
      <w:bookmarkEnd w:id="25"/>
      <w:r w:rsidR="00B50CFF" w:rsidRPr="006B3892">
        <w:t xml:space="preserve"> </w:t>
      </w:r>
      <w:r w:rsidR="00B50CFF" w:rsidRPr="0023170C">
        <w:t>The NDIS policy environment is uncertain; agree or strongly agree</w:t>
      </w:r>
    </w:p>
    <w:tbl>
      <w:tblPr>
        <w:tblW w:w="4390" w:type="dxa"/>
        <w:tblLook w:val="04A0" w:firstRow="1" w:lastRow="0" w:firstColumn="1" w:lastColumn="0" w:noHBand="0" w:noVBand="1"/>
        <w:tblCaption w:val="Table 6 The NDIS policy environment is uncertain; agree or strongly agree"/>
        <w:tblDescription w:val="A table showing the percentage of respondents who agree or strongly agree with the statement that the NDIS policy environment is uncertain. Trend data from 2016 to 2024."/>
      </w:tblPr>
      <w:tblGrid>
        <w:gridCol w:w="1180"/>
        <w:gridCol w:w="3210"/>
      </w:tblGrid>
      <w:tr w:rsidR="00DE0CEC" w:rsidRPr="00694141" w14:paraId="42F1E2EF" w14:textId="77777777" w:rsidTr="00694141">
        <w:trPr>
          <w:trHeight w:val="661"/>
          <w:tblHeader/>
        </w:trPr>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5518A4" w14:textId="77777777" w:rsidR="00DE0CEC" w:rsidRPr="00694141" w:rsidRDefault="00DE0CEC" w:rsidP="00694141">
            <w:pPr>
              <w:rPr>
                <w:b/>
                <w:bCs/>
                <w:lang w:eastAsia="en-AU"/>
              </w:rPr>
            </w:pPr>
            <w:bookmarkStart w:id="26" w:name="Title_Table_6"/>
            <w:bookmarkStart w:id="27" w:name="_Ref183699494"/>
            <w:bookmarkEnd w:id="26"/>
            <w:r w:rsidRPr="00694141">
              <w:rPr>
                <w:b/>
                <w:bCs/>
                <w:lang w:eastAsia="en-AU"/>
              </w:rPr>
              <w:t>Year</w:t>
            </w:r>
          </w:p>
        </w:tc>
        <w:tc>
          <w:tcPr>
            <w:tcW w:w="3210" w:type="dxa"/>
            <w:tcBorders>
              <w:top w:val="single" w:sz="4" w:space="0" w:color="auto"/>
              <w:left w:val="nil"/>
              <w:bottom w:val="single" w:sz="4" w:space="0" w:color="auto"/>
              <w:right w:val="single" w:sz="4" w:space="0" w:color="auto"/>
            </w:tcBorders>
            <w:shd w:val="clear" w:color="000000" w:fill="D9D9D9"/>
            <w:vAlign w:val="center"/>
            <w:hideMark/>
          </w:tcPr>
          <w:p w14:paraId="479F3CF2" w14:textId="77777777" w:rsidR="00DE0CEC" w:rsidRPr="00694141" w:rsidRDefault="00DE0CEC" w:rsidP="00694141">
            <w:pPr>
              <w:rPr>
                <w:b/>
                <w:bCs/>
                <w:lang w:eastAsia="en-AU"/>
              </w:rPr>
            </w:pPr>
            <w:r w:rsidRPr="00694141">
              <w:rPr>
                <w:b/>
                <w:bCs/>
                <w:lang w:eastAsia="en-AU"/>
              </w:rPr>
              <w:t>Agree or strongly agree</w:t>
            </w:r>
          </w:p>
        </w:tc>
      </w:tr>
      <w:tr w:rsidR="00DE0CEC" w:rsidRPr="008503E0" w14:paraId="2D7811EB"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49BCE8E"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2016</w:t>
            </w:r>
          </w:p>
        </w:tc>
        <w:tc>
          <w:tcPr>
            <w:tcW w:w="3210" w:type="dxa"/>
            <w:tcBorders>
              <w:top w:val="nil"/>
              <w:left w:val="nil"/>
              <w:bottom w:val="single" w:sz="4" w:space="0" w:color="auto"/>
              <w:right w:val="single" w:sz="4" w:space="0" w:color="auto"/>
            </w:tcBorders>
            <w:shd w:val="clear" w:color="auto" w:fill="auto"/>
            <w:noWrap/>
            <w:vAlign w:val="center"/>
            <w:hideMark/>
          </w:tcPr>
          <w:p w14:paraId="784FEE5B"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75</w:t>
            </w:r>
            <w:r>
              <w:rPr>
                <w:rFonts w:eastAsia="Times New Roman"/>
                <w:color w:val="000000"/>
                <w:kern w:val="0"/>
                <w:lang w:eastAsia="en-AU"/>
                <w14:ligatures w14:val="none"/>
              </w:rPr>
              <w:t xml:space="preserve"> per cent</w:t>
            </w:r>
          </w:p>
        </w:tc>
      </w:tr>
      <w:tr w:rsidR="00DE0CEC" w:rsidRPr="008503E0" w14:paraId="2E8AC7EE"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2543DC2"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2017</w:t>
            </w:r>
          </w:p>
        </w:tc>
        <w:tc>
          <w:tcPr>
            <w:tcW w:w="3210" w:type="dxa"/>
            <w:tcBorders>
              <w:top w:val="nil"/>
              <w:left w:val="nil"/>
              <w:bottom w:val="single" w:sz="4" w:space="0" w:color="auto"/>
              <w:right w:val="single" w:sz="4" w:space="0" w:color="auto"/>
            </w:tcBorders>
            <w:shd w:val="clear" w:color="auto" w:fill="auto"/>
            <w:noWrap/>
            <w:vAlign w:val="center"/>
            <w:hideMark/>
          </w:tcPr>
          <w:p w14:paraId="24D23011"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75</w:t>
            </w:r>
            <w:r>
              <w:rPr>
                <w:rFonts w:eastAsia="Times New Roman"/>
                <w:color w:val="000000"/>
                <w:kern w:val="0"/>
                <w:lang w:eastAsia="en-AU"/>
                <w14:ligatures w14:val="none"/>
              </w:rPr>
              <w:t xml:space="preserve"> per cent</w:t>
            </w:r>
          </w:p>
        </w:tc>
      </w:tr>
      <w:tr w:rsidR="00DE0CEC" w:rsidRPr="008503E0" w14:paraId="5F57A38E"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D24C171"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2018</w:t>
            </w:r>
          </w:p>
        </w:tc>
        <w:tc>
          <w:tcPr>
            <w:tcW w:w="3210" w:type="dxa"/>
            <w:tcBorders>
              <w:top w:val="nil"/>
              <w:left w:val="nil"/>
              <w:bottom w:val="single" w:sz="4" w:space="0" w:color="auto"/>
              <w:right w:val="single" w:sz="4" w:space="0" w:color="auto"/>
            </w:tcBorders>
            <w:shd w:val="clear" w:color="auto" w:fill="auto"/>
            <w:noWrap/>
            <w:vAlign w:val="center"/>
            <w:hideMark/>
          </w:tcPr>
          <w:p w14:paraId="261DC692"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80</w:t>
            </w:r>
            <w:r>
              <w:rPr>
                <w:rFonts w:eastAsia="Times New Roman"/>
                <w:color w:val="000000"/>
                <w:kern w:val="0"/>
                <w:lang w:eastAsia="en-AU"/>
                <w14:ligatures w14:val="none"/>
              </w:rPr>
              <w:t xml:space="preserve"> per cent</w:t>
            </w:r>
          </w:p>
        </w:tc>
      </w:tr>
      <w:tr w:rsidR="00DE0CEC" w:rsidRPr="008503E0" w14:paraId="021C119A"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02A7A98"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2019</w:t>
            </w:r>
          </w:p>
        </w:tc>
        <w:tc>
          <w:tcPr>
            <w:tcW w:w="3210" w:type="dxa"/>
            <w:tcBorders>
              <w:top w:val="nil"/>
              <w:left w:val="nil"/>
              <w:bottom w:val="single" w:sz="4" w:space="0" w:color="auto"/>
              <w:right w:val="single" w:sz="4" w:space="0" w:color="auto"/>
            </w:tcBorders>
            <w:shd w:val="clear" w:color="auto" w:fill="auto"/>
            <w:noWrap/>
            <w:vAlign w:val="center"/>
            <w:hideMark/>
          </w:tcPr>
          <w:p w14:paraId="38ADE44C"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75</w:t>
            </w:r>
            <w:r>
              <w:rPr>
                <w:rFonts w:eastAsia="Times New Roman"/>
                <w:color w:val="000000"/>
                <w:kern w:val="0"/>
                <w:lang w:eastAsia="en-AU"/>
                <w14:ligatures w14:val="none"/>
              </w:rPr>
              <w:t xml:space="preserve"> per cent</w:t>
            </w:r>
          </w:p>
        </w:tc>
      </w:tr>
      <w:tr w:rsidR="00DE0CEC" w:rsidRPr="008503E0" w14:paraId="1ABD223F"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9DBFA32"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2020</w:t>
            </w:r>
          </w:p>
        </w:tc>
        <w:tc>
          <w:tcPr>
            <w:tcW w:w="3210" w:type="dxa"/>
            <w:tcBorders>
              <w:top w:val="nil"/>
              <w:left w:val="nil"/>
              <w:bottom w:val="single" w:sz="4" w:space="0" w:color="auto"/>
              <w:right w:val="single" w:sz="4" w:space="0" w:color="auto"/>
            </w:tcBorders>
            <w:shd w:val="clear" w:color="auto" w:fill="auto"/>
            <w:noWrap/>
            <w:vAlign w:val="center"/>
            <w:hideMark/>
          </w:tcPr>
          <w:p w14:paraId="5719FAF3"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69</w:t>
            </w:r>
            <w:r>
              <w:rPr>
                <w:rFonts w:eastAsia="Times New Roman"/>
                <w:color w:val="000000"/>
                <w:kern w:val="0"/>
                <w:lang w:eastAsia="en-AU"/>
                <w14:ligatures w14:val="none"/>
              </w:rPr>
              <w:t xml:space="preserve"> per cent</w:t>
            </w:r>
          </w:p>
        </w:tc>
      </w:tr>
      <w:tr w:rsidR="00DE0CEC" w:rsidRPr="008503E0" w14:paraId="5466E94D"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4D79D9B"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2021</w:t>
            </w:r>
          </w:p>
        </w:tc>
        <w:tc>
          <w:tcPr>
            <w:tcW w:w="3210" w:type="dxa"/>
            <w:tcBorders>
              <w:top w:val="nil"/>
              <w:left w:val="nil"/>
              <w:bottom w:val="single" w:sz="4" w:space="0" w:color="auto"/>
              <w:right w:val="single" w:sz="4" w:space="0" w:color="auto"/>
            </w:tcBorders>
            <w:shd w:val="clear" w:color="auto" w:fill="auto"/>
            <w:noWrap/>
            <w:vAlign w:val="center"/>
            <w:hideMark/>
          </w:tcPr>
          <w:p w14:paraId="3EC63187"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81</w:t>
            </w:r>
            <w:r>
              <w:rPr>
                <w:rFonts w:eastAsia="Times New Roman"/>
                <w:color w:val="000000"/>
                <w:kern w:val="0"/>
                <w:lang w:eastAsia="en-AU"/>
                <w14:ligatures w14:val="none"/>
              </w:rPr>
              <w:t xml:space="preserve"> per cent</w:t>
            </w:r>
          </w:p>
        </w:tc>
      </w:tr>
      <w:tr w:rsidR="00DE0CEC" w:rsidRPr="008503E0" w14:paraId="68713916"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B10FFF9"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2022</w:t>
            </w:r>
          </w:p>
        </w:tc>
        <w:tc>
          <w:tcPr>
            <w:tcW w:w="3210" w:type="dxa"/>
            <w:tcBorders>
              <w:top w:val="nil"/>
              <w:left w:val="nil"/>
              <w:bottom w:val="single" w:sz="4" w:space="0" w:color="auto"/>
              <w:right w:val="single" w:sz="4" w:space="0" w:color="auto"/>
            </w:tcBorders>
            <w:shd w:val="clear" w:color="auto" w:fill="auto"/>
            <w:noWrap/>
            <w:vAlign w:val="center"/>
            <w:hideMark/>
          </w:tcPr>
          <w:p w14:paraId="2638B47F"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79</w:t>
            </w:r>
            <w:r>
              <w:rPr>
                <w:rFonts w:eastAsia="Times New Roman"/>
                <w:color w:val="000000"/>
                <w:kern w:val="0"/>
                <w:lang w:eastAsia="en-AU"/>
                <w14:ligatures w14:val="none"/>
              </w:rPr>
              <w:t xml:space="preserve"> per cent</w:t>
            </w:r>
          </w:p>
        </w:tc>
      </w:tr>
      <w:tr w:rsidR="00DE0CEC" w:rsidRPr="008503E0" w14:paraId="0CD7069C"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AA7EFBC"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2023</w:t>
            </w:r>
          </w:p>
        </w:tc>
        <w:tc>
          <w:tcPr>
            <w:tcW w:w="3210" w:type="dxa"/>
            <w:tcBorders>
              <w:top w:val="nil"/>
              <w:left w:val="nil"/>
              <w:bottom w:val="single" w:sz="4" w:space="0" w:color="auto"/>
              <w:right w:val="single" w:sz="4" w:space="0" w:color="auto"/>
            </w:tcBorders>
            <w:shd w:val="clear" w:color="auto" w:fill="auto"/>
            <w:noWrap/>
            <w:vAlign w:val="center"/>
            <w:hideMark/>
          </w:tcPr>
          <w:p w14:paraId="77A4EAF7"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81</w:t>
            </w:r>
            <w:r>
              <w:rPr>
                <w:rFonts w:eastAsia="Times New Roman"/>
                <w:color w:val="000000"/>
                <w:kern w:val="0"/>
                <w:lang w:eastAsia="en-AU"/>
                <w14:ligatures w14:val="none"/>
              </w:rPr>
              <w:t xml:space="preserve"> per cent</w:t>
            </w:r>
          </w:p>
        </w:tc>
      </w:tr>
      <w:tr w:rsidR="00DE0CEC" w:rsidRPr="008503E0" w14:paraId="48AEE318"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255255"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2024</w:t>
            </w:r>
          </w:p>
        </w:tc>
        <w:tc>
          <w:tcPr>
            <w:tcW w:w="3210" w:type="dxa"/>
            <w:tcBorders>
              <w:top w:val="nil"/>
              <w:left w:val="nil"/>
              <w:bottom w:val="single" w:sz="4" w:space="0" w:color="auto"/>
              <w:right w:val="single" w:sz="4" w:space="0" w:color="auto"/>
            </w:tcBorders>
            <w:shd w:val="clear" w:color="auto" w:fill="auto"/>
            <w:noWrap/>
            <w:vAlign w:val="center"/>
            <w:hideMark/>
          </w:tcPr>
          <w:p w14:paraId="22D4618B" w14:textId="77777777" w:rsidR="00DE0CEC" w:rsidRPr="008503E0" w:rsidRDefault="00DE0CEC" w:rsidP="000552EE">
            <w:pPr>
              <w:rPr>
                <w:rFonts w:eastAsia="Times New Roman"/>
                <w:color w:val="000000"/>
                <w:kern w:val="0"/>
                <w:lang w:eastAsia="en-AU"/>
                <w14:ligatures w14:val="none"/>
              </w:rPr>
            </w:pPr>
            <w:r w:rsidRPr="008503E0">
              <w:rPr>
                <w:rFonts w:eastAsia="Times New Roman"/>
                <w:color w:val="000000"/>
                <w:kern w:val="0"/>
                <w:lang w:eastAsia="en-AU"/>
                <w14:ligatures w14:val="none"/>
              </w:rPr>
              <w:t>91</w:t>
            </w:r>
            <w:r>
              <w:rPr>
                <w:rFonts w:eastAsia="Times New Roman"/>
                <w:color w:val="000000"/>
                <w:kern w:val="0"/>
                <w:lang w:eastAsia="en-AU"/>
                <w14:ligatures w14:val="none"/>
              </w:rPr>
              <w:t xml:space="preserve"> per cent</w:t>
            </w:r>
          </w:p>
        </w:tc>
      </w:tr>
    </w:tbl>
    <w:p w14:paraId="2591D1BF" w14:textId="5311A54F" w:rsidR="00B50CFF" w:rsidRPr="00B50CFF" w:rsidRDefault="009D342F" w:rsidP="005366DB">
      <w:pPr>
        <w:pStyle w:val="Caption"/>
      </w:pPr>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7</w:t>
      </w:r>
      <w:r w:rsidR="0007250B" w:rsidRPr="001A77F7">
        <w:rPr>
          <w:b/>
          <w:bCs/>
          <w:noProof/>
        </w:rPr>
        <w:fldChar w:fldCharType="end"/>
      </w:r>
      <w:bookmarkEnd w:id="27"/>
      <w:r w:rsidR="00B50CFF" w:rsidRPr="00C55B4B">
        <w:t xml:space="preserve"> </w:t>
      </w:r>
      <w:r w:rsidR="00B50CFF" w:rsidRPr="0023170C">
        <w:t>We are worried we won't be able to provide NDIS services at current prices; agree or strongly agree</w:t>
      </w:r>
    </w:p>
    <w:tbl>
      <w:tblPr>
        <w:tblW w:w="4248" w:type="dxa"/>
        <w:tblLook w:val="04A0" w:firstRow="1" w:lastRow="0" w:firstColumn="1" w:lastColumn="0" w:noHBand="0" w:noVBand="1"/>
        <w:tblCaption w:val="We are worried we won't be able to provide NDIS services at current prices; agree or strongly agree"/>
        <w:tblDescription w:val="A table showing the percentage of respondents who agree or strongly agree with the statement that the NDIS policy environment is uncertain. Trend data from 2016 to 2024."/>
      </w:tblPr>
      <w:tblGrid>
        <w:gridCol w:w="1180"/>
        <w:gridCol w:w="3068"/>
      </w:tblGrid>
      <w:tr w:rsidR="00A5479D" w:rsidRPr="00694141" w14:paraId="4AA0B3B6" w14:textId="77777777" w:rsidTr="00694141">
        <w:trPr>
          <w:trHeight w:val="625"/>
          <w:tblHeader/>
        </w:trPr>
        <w:tc>
          <w:tcPr>
            <w:tcW w:w="11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EA4118" w14:textId="77777777" w:rsidR="00A5479D" w:rsidRPr="00694141" w:rsidRDefault="00A5479D" w:rsidP="00694141">
            <w:pPr>
              <w:rPr>
                <w:b/>
                <w:bCs/>
                <w:lang w:eastAsia="en-AU"/>
              </w:rPr>
            </w:pPr>
            <w:bookmarkStart w:id="28" w:name="Title_Table_7"/>
            <w:bookmarkEnd w:id="28"/>
            <w:r w:rsidRPr="00694141">
              <w:rPr>
                <w:b/>
                <w:bCs/>
                <w:lang w:eastAsia="en-AU"/>
              </w:rPr>
              <w:t>Year</w:t>
            </w:r>
          </w:p>
        </w:tc>
        <w:tc>
          <w:tcPr>
            <w:tcW w:w="3068" w:type="dxa"/>
            <w:tcBorders>
              <w:top w:val="single" w:sz="4" w:space="0" w:color="auto"/>
              <w:left w:val="nil"/>
              <w:bottom w:val="single" w:sz="4" w:space="0" w:color="auto"/>
              <w:right w:val="single" w:sz="4" w:space="0" w:color="auto"/>
            </w:tcBorders>
            <w:shd w:val="clear" w:color="000000" w:fill="D9D9D9"/>
            <w:vAlign w:val="center"/>
            <w:hideMark/>
          </w:tcPr>
          <w:p w14:paraId="0BD02178" w14:textId="77777777" w:rsidR="00A5479D" w:rsidRPr="00694141" w:rsidRDefault="00A5479D" w:rsidP="00694141">
            <w:pPr>
              <w:rPr>
                <w:b/>
                <w:bCs/>
                <w:lang w:eastAsia="en-AU"/>
              </w:rPr>
            </w:pPr>
            <w:r w:rsidRPr="00694141">
              <w:rPr>
                <w:b/>
                <w:bCs/>
                <w:lang w:eastAsia="en-AU"/>
              </w:rPr>
              <w:t>Agree or strongly agree</w:t>
            </w:r>
          </w:p>
        </w:tc>
      </w:tr>
      <w:tr w:rsidR="00A5479D" w:rsidRPr="006E6322" w14:paraId="4CFC9CA2"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21B3306"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2016</w:t>
            </w:r>
          </w:p>
        </w:tc>
        <w:tc>
          <w:tcPr>
            <w:tcW w:w="3068" w:type="dxa"/>
            <w:tcBorders>
              <w:top w:val="nil"/>
              <w:left w:val="nil"/>
              <w:bottom w:val="single" w:sz="4" w:space="0" w:color="auto"/>
              <w:right w:val="single" w:sz="4" w:space="0" w:color="auto"/>
            </w:tcBorders>
            <w:shd w:val="clear" w:color="auto" w:fill="auto"/>
            <w:noWrap/>
            <w:vAlign w:val="center"/>
            <w:hideMark/>
          </w:tcPr>
          <w:p w14:paraId="388121DB"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67</w:t>
            </w:r>
            <w:r>
              <w:rPr>
                <w:rFonts w:eastAsia="Times New Roman"/>
                <w:color w:val="000000"/>
                <w:kern w:val="0"/>
                <w:lang w:eastAsia="en-AU"/>
                <w14:ligatures w14:val="none"/>
              </w:rPr>
              <w:t xml:space="preserve"> per cent</w:t>
            </w:r>
          </w:p>
        </w:tc>
      </w:tr>
      <w:tr w:rsidR="00A5479D" w:rsidRPr="006E6322" w14:paraId="48F105C2"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211D709"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2017</w:t>
            </w:r>
          </w:p>
        </w:tc>
        <w:tc>
          <w:tcPr>
            <w:tcW w:w="3068" w:type="dxa"/>
            <w:tcBorders>
              <w:top w:val="nil"/>
              <w:left w:val="nil"/>
              <w:bottom w:val="single" w:sz="4" w:space="0" w:color="auto"/>
              <w:right w:val="single" w:sz="4" w:space="0" w:color="auto"/>
            </w:tcBorders>
            <w:shd w:val="clear" w:color="auto" w:fill="auto"/>
            <w:noWrap/>
            <w:vAlign w:val="center"/>
            <w:hideMark/>
          </w:tcPr>
          <w:p w14:paraId="51732220"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68</w:t>
            </w:r>
            <w:r>
              <w:rPr>
                <w:rFonts w:eastAsia="Times New Roman"/>
                <w:color w:val="000000"/>
                <w:kern w:val="0"/>
                <w:lang w:eastAsia="en-AU"/>
                <w14:ligatures w14:val="none"/>
              </w:rPr>
              <w:t xml:space="preserve"> per cent</w:t>
            </w:r>
          </w:p>
        </w:tc>
      </w:tr>
      <w:tr w:rsidR="00A5479D" w:rsidRPr="006E6322" w14:paraId="429681F5"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176BF0A"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2018</w:t>
            </w:r>
          </w:p>
        </w:tc>
        <w:tc>
          <w:tcPr>
            <w:tcW w:w="3068" w:type="dxa"/>
            <w:tcBorders>
              <w:top w:val="nil"/>
              <w:left w:val="nil"/>
              <w:bottom w:val="single" w:sz="4" w:space="0" w:color="auto"/>
              <w:right w:val="single" w:sz="4" w:space="0" w:color="auto"/>
            </w:tcBorders>
            <w:shd w:val="clear" w:color="auto" w:fill="auto"/>
            <w:noWrap/>
            <w:vAlign w:val="center"/>
            <w:hideMark/>
          </w:tcPr>
          <w:p w14:paraId="238BBB20"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58</w:t>
            </w:r>
            <w:r>
              <w:rPr>
                <w:rFonts w:eastAsia="Times New Roman"/>
                <w:color w:val="000000"/>
                <w:kern w:val="0"/>
                <w:lang w:eastAsia="en-AU"/>
                <w14:ligatures w14:val="none"/>
              </w:rPr>
              <w:t xml:space="preserve"> per cent</w:t>
            </w:r>
          </w:p>
        </w:tc>
      </w:tr>
      <w:tr w:rsidR="00A5479D" w:rsidRPr="006E6322" w14:paraId="0A8EB7D8"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3046AD9"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2019</w:t>
            </w:r>
          </w:p>
        </w:tc>
        <w:tc>
          <w:tcPr>
            <w:tcW w:w="3068" w:type="dxa"/>
            <w:tcBorders>
              <w:top w:val="nil"/>
              <w:left w:val="nil"/>
              <w:bottom w:val="single" w:sz="4" w:space="0" w:color="auto"/>
              <w:right w:val="single" w:sz="4" w:space="0" w:color="auto"/>
            </w:tcBorders>
            <w:shd w:val="clear" w:color="auto" w:fill="auto"/>
            <w:noWrap/>
            <w:vAlign w:val="center"/>
            <w:hideMark/>
          </w:tcPr>
          <w:p w14:paraId="7B83CE4F"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52</w:t>
            </w:r>
            <w:r>
              <w:rPr>
                <w:rFonts w:eastAsia="Times New Roman"/>
                <w:color w:val="000000"/>
                <w:kern w:val="0"/>
                <w:lang w:eastAsia="en-AU"/>
                <w14:ligatures w14:val="none"/>
              </w:rPr>
              <w:t xml:space="preserve"> per cent</w:t>
            </w:r>
          </w:p>
        </w:tc>
      </w:tr>
      <w:tr w:rsidR="00A5479D" w:rsidRPr="006E6322" w14:paraId="283C3B9C"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02F98C9"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2020</w:t>
            </w:r>
          </w:p>
        </w:tc>
        <w:tc>
          <w:tcPr>
            <w:tcW w:w="3068" w:type="dxa"/>
            <w:tcBorders>
              <w:top w:val="nil"/>
              <w:left w:val="nil"/>
              <w:bottom w:val="single" w:sz="4" w:space="0" w:color="auto"/>
              <w:right w:val="single" w:sz="4" w:space="0" w:color="auto"/>
            </w:tcBorders>
            <w:shd w:val="clear" w:color="auto" w:fill="auto"/>
            <w:noWrap/>
            <w:vAlign w:val="center"/>
            <w:hideMark/>
          </w:tcPr>
          <w:p w14:paraId="5D051D27"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57</w:t>
            </w:r>
            <w:r>
              <w:rPr>
                <w:rFonts w:eastAsia="Times New Roman"/>
                <w:color w:val="000000"/>
                <w:kern w:val="0"/>
                <w:lang w:eastAsia="en-AU"/>
                <w14:ligatures w14:val="none"/>
              </w:rPr>
              <w:t xml:space="preserve"> per cent</w:t>
            </w:r>
          </w:p>
        </w:tc>
      </w:tr>
      <w:tr w:rsidR="00A5479D" w:rsidRPr="006E6322" w14:paraId="027C7444"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9C78C5E"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2021</w:t>
            </w:r>
          </w:p>
        </w:tc>
        <w:tc>
          <w:tcPr>
            <w:tcW w:w="3068" w:type="dxa"/>
            <w:tcBorders>
              <w:top w:val="nil"/>
              <w:left w:val="nil"/>
              <w:bottom w:val="single" w:sz="4" w:space="0" w:color="auto"/>
              <w:right w:val="single" w:sz="4" w:space="0" w:color="auto"/>
            </w:tcBorders>
            <w:shd w:val="clear" w:color="auto" w:fill="auto"/>
            <w:noWrap/>
            <w:vAlign w:val="center"/>
            <w:hideMark/>
          </w:tcPr>
          <w:p w14:paraId="6760AA91"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58</w:t>
            </w:r>
            <w:r>
              <w:rPr>
                <w:rFonts w:eastAsia="Times New Roman"/>
                <w:color w:val="000000"/>
                <w:kern w:val="0"/>
                <w:lang w:eastAsia="en-AU"/>
                <w14:ligatures w14:val="none"/>
              </w:rPr>
              <w:t xml:space="preserve"> per cent</w:t>
            </w:r>
          </w:p>
        </w:tc>
      </w:tr>
      <w:tr w:rsidR="00A5479D" w:rsidRPr="006E6322" w14:paraId="225683C2"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850447"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2022</w:t>
            </w:r>
          </w:p>
        </w:tc>
        <w:tc>
          <w:tcPr>
            <w:tcW w:w="3068" w:type="dxa"/>
            <w:tcBorders>
              <w:top w:val="nil"/>
              <w:left w:val="nil"/>
              <w:bottom w:val="single" w:sz="4" w:space="0" w:color="auto"/>
              <w:right w:val="single" w:sz="4" w:space="0" w:color="auto"/>
            </w:tcBorders>
            <w:shd w:val="clear" w:color="auto" w:fill="auto"/>
            <w:noWrap/>
            <w:vAlign w:val="center"/>
            <w:hideMark/>
          </w:tcPr>
          <w:p w14:paraId="3902251C"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59</w:t>
            </w:r>
            <w:r>
              <w:rPr>
                <w:rFonts w:eastAsia="Times New Roman"/>
                <w:color w:val="000000"/>
                <w:kern w:val="0"/>
                <w:lang w:eastAsia="en-AU"/>
                <w14:ligatures w14:val="none"/>
              </w:rPr>
              <w:t xml:space="preserve"> per cent</w:t>
            </w:r>
          </w:p>
        </w:tc>
      </w:tr>
      <w:tr w:rsidR="00A5479D" w:rsidRPr="006E6322" w14:paraId="69D536FB"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C09621F"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2023</w:t>
            </w:r>
          </w:p>
        </w:tc>
        <w:tc>
          <w:tcPr>
            <w:tcW w:w="3068" w:type="dxa"/>
            <w:tcBorders>
              <w:top w:val="nil"/>
              <w:left w:val="nil"/>
              <w:bottom w:val="single" w:sz="4" w:space="0" w:color="auto"/>
              <w:right w:val="single" w:sz="4" w:space="0" w:color="auto"/>
            </w:tcBorders>
            <w:shd w:val="clear" w:color="auto" w:fill="auto"/>
            <w:noWrap/>
            <w:vAlign w:val="center"/>
            <w:hideMark/>
          </w:tcPr>
          <w:p w14:paraId="3F062564"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69</w:t>
            </w:r>
            <w:r>
              <w:rPr>
                <w:rFonts w:eastAsia="Times New Roman"/>
                <w:color w:val="000000"/>
                <w:kern w:val="0"/>
                <w:lang w:eastAsia="en-AU"/>
                <w14:ligatures w14:val="none"/>
              </w:rPr>
              <w:t xml:space="preserve"> per cent</w:t>
            </w:r>
          </w:p>
        </w:tc>
      </w:tr>
      <w:tr w:rsidR="00A5479D" w:rsidRPr="006E6322" w14:paraId="6AFE8BA4" w14:textId="77777777" w:rsidTr="00694141">
        <w:trPr>
          <w:trHeight w:val="30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AB2A3A"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2024</w:t>
            </w:r>
          </w:p>
        </w:tc>
        <w:tc>
          <w:tcPr>
            <w:tcW w:w="3068" w:type="dxa"/>
            <w:tcBorders>
              <w:top w:val="nil"/>
              <w:left w:val="nil"/>
              <w:bottom w:val="single" w:sz="4" w:space="0" w:color="auto"/>
              <w:right w:val="single" w:sz="4" w:space="0" w:color="auto"/>
            </w:tcBorders>
            <w:shd w:val="clear" w:color="auto" w:fill="auto"/>
            <w:noWrap/>
            <w:vAlign w:val="center"/>
            <w:hideMark/>
          </w:tcPr>
          <w:p w14:paraId="487FD441" w14:textId="77777777" w:rsidR="00A5479D" w:rsidRPr="006E6322" w:rsidRDefault="00A5479D" w:rsidP="000552EE">
            <w:pPr>
              <w:rPr>
                <w:rFonts w:eastAsia="Times New Roman"/>
                <w:color w:val="000000"/>
                <w:kern w:val="0"/>
                <w:lang w:eastAsia="en-AU"/>
                <w14:ligatures w14:val="none"/>
              </w:rPr>
            </w:pPr>
            <w:r w:rsidRPr="006E6322">
              <w:rPr>
                <w:rFonts w:eastAsia="Times New Roman"/>
                <w:color w:val="000000"/>
                <w:kern w:val="0"/>
                <w:lang w:eastAsia="en-AU"/>
                <w14:ligatures w14:val="none"/>
              </w:rPr>
              <w:t>80</w:t>
            </w:r>
            <w:r>
              <w:rPr>
                <w:rFonts w:eastAsia="Times New Roman"/>
                <w:color w:val="000000"/>
                <w:kern w:val="0"/>
                <w:lang w:eastAsia="en-AU"/>
                <w14:ligatures w14:val="none"/>
              </w:rPr>
              <w:t xml:space="preserve"> per cent</w:t>
            </w:r>
          </w:p>
        </w:tc>
      </w:tr>
    </w:tbl>
    <w:p w14:paraId="2A397781" w14:textId="6E402733" w:rsidR="00B021DF" w:rsidRPr="00620176" w:rsidRDefault="00B021DF" w:rsidP="005F0813">
      <w:pPr>
        <w:pStyle w:val="NormalFirstAfterTable"/>
      </w:pPr>
      <w:r>
        <w:lastRenderedPageBreak/>
        <w:t>The proportion of respondents reporting that they do not believe that there is sufficient advocacy for the people they support increased from 70 per cent in 2023 to 72 per cent this year. Although an apparently small increase in the level of disagreement, this was statistically significant</w:t>
      </w:r>
      <w:r w:rsidR="00E9478E">
        <w:t>, since</w:t>
      </w:r>
      <w:r>
        <w:t xml:space="preserve"> there was a large increase in the percentage of respondents strongly disagreeing with this statement (36 per cent in 2024 compared to 27 per cent in 2023).</w:t>
      </w:r>
    </w:p>
    <w:p w14:paraId="28A9BDDE" w14:textId="77777777" w:rsidR="004316F3" w:rsidRDefault="00B021DF" w:rsidP="0097062A">
      <w:pPr>
        <w:pStyle w:val="Heading3"/>
      </w:pPr>
      <w:r>
        <w:t>Organisation strategy and improvement</w:t>
      </w:r>
    </w:p>
    <w:p w14:paraId="0F62EECA" w14:textId="77777777" w:rsidR="004316F3" w:rsidRDefault="00B021DF" w:rsidP="0097062A">
      <w:r>
        <w:t>Despite the uncertainty in the sector, organisations continue to work towards improvement. Ninety-six per cent of responding organisations are actively working on improving productivity. This figure is stable in comparison to 2023.</w:t>
      </w:r>
    </w:p>
    <w:p w14:paraId="419AA4C9" w14:textId="12E5A7CC" w:rsidR="00B021DF" w:rsidRPr="00E21061" w:rsidRDefault="00B021DF" w:rsidP="0097062A">
      <w:r>
        <w:t>Fifty-one per cent of organisations plan to expand their operations</w:t>
      </w:r>
      <w:r w:rsidR="000E2E78">
        <w:t>,</w:t>
      </w:r>
      <w:r>
        <w:t xml:space="preserve"> which is a smaller proportion than in 2023. Also, lower than 2023, only 45 per cent of organisations reported that they have a clear vision of where they will be in three years.</w:t>
      </w:r>
    </w:p>
    <w:p w14:paraId="64B09CAB" w14:textId="302D0D54" w:rsidR="00B021DF" w:rsidRPr="00E21061" w:rsidRDefault="00B021DF" w:rsidP="0097062A">
      <w:r>
        <w:t>However, 72 per cent are worried about their ability to adjust to changes in the policy environment (this was significantly higher than 2023)</w:t>
      </w:r>
      <w:r w:rsidR="0030394D">
        <w:t>,</w:t>
      </w:r>
      <w:r>
        <w:t xml:space="preserve"> and 67 per cent reported that their board and leadership team find it difficult to develop strategy and set directions in the current policy and operating environment (again, this was significantly higher than in 2023).</w:t>
      </w:r>
    </w:p>
    <w:p w14:paraId="0D724346" w14:textId="25AF4CE0" w:rsidR="004316F3" w:rsidRDefault="00B021DF" w:rsidP="0097062A">
      <w:r>
        <w:t>Twenty-seven per cent of respondents plan to stay in the disability sector but not focus on growing their organisation, while 21 per cent are considering getting out of the disability sector entirely, a statistically significant increase from nine per cent in 2023</w:t>
      </w:r>
      <w:r w:rsidR="00031852" w:rsidRPr="007B3F2D">
        <w:t xml:space="preserve"> </w:t>
      </w:r>
      <w:r w:rsidR="00031852">
        <w:t xml:space="preserve">(see </w:t>
      </w:r>
      <w:r w:rsidR="00031852">
        <w:fldChar w:fldCharType="begin"/>
      </w:r>
      <w:r w:rsidR="00031852">
        <w:instrText xml:space="preserve"> REF _Ref183699927 \h </w:instrText>
      </w:r>
      <w:r w:rsidR="00031852">
        <w:fldChar w:fldCharType="separate"/>
      </w:r>
      <w:r w:rsidR="009D342F">
        <w:t>Table </w:t>
      </w:r>
      <w:r w:rsidR="00031852">
        <w:rPr>
          <w:noProof/>
        </w:rPr>
        <w:t>8</w:t>
      </w:r>
      <w:r w:rsidR="00031852">
        <w:fldChar w:fldCharType="end"/>
      </w:r>
      <w:r w:rsidR="00031852">
        <w:t>)</w:t>
      </w:r>
      <w:r>
        <w:t>.</w:t>
      </w:r>
    </w:p>
    <w:p w14:paraId="431ACEF9" w14:textId="34C1B43D" w:rsidR="00B50CFF" w:rsidRDefault="009D342F" w:rsidP="005366DB">
      <w:pPr>
        <w:pStyle w:val="Caption"/>
      </w:pPr>
      <w:bookmarkStart w:id="29" w:name="_Ref183699927"/>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8</w:t>
      </w:r>
      <w:r w:rsidR="0007250B" w:rsidRPr="001A77F7">
        <w:rPr>
          <w:b/>
          <w:bCs/>
          <w:noProof/>
        </w:rPr>
        <w:fldChar w:fldCharType="end"/>
      </w:r>
      <w:bookmarkEnd w:id="29"/>
      <w:r w:rsidR="00B50CFF" w:rsidRPr="00556221">
        <w:t xml:space="preserve"> </w:t>
      </w:r>
      <w:r w:rsidR="00B50CFF" w:rsidRPr="00FE3E26">
        <w:t>We are considering getting out of the disability sector; agree or strongly agree</w:t>
      </w:r>
    </w:p>
    <w:tbl>
      <w:tblPr>
        <w:tblW w:w="4248" w:type="dxa"/>
        <w:tblLook w:val="04A0" w:firstRow="1" w:lastRow="0" w:firstColumn="1" w:lastColumn="0" w:noHBand="0" w:noVBand="1"/>
        <w:tblCaption w:val="Table 8 We are considering getting out of the disability sector; agree or strongly agree"/>
        <w:tblDescription w:val="A table showing the percentage of respondents who agree or disagree with the statement that their organisation is considering getting out of the disability sector. Trend data from 2018 to 2024."/>
      </w:tblPr>
      <w:tblGrid>
        <w:gridCol w:w="1271"/>
        <w:gridCol w:w="2977"/>
      </w:tblGrid>
      <w:tr w:rsidR="005F0813" w:rsidRPr="00694141" w14:paraId="71717FFE" w14:textId="77777777" w:rsidTr="000552EE">
        <w:trPr>
          <w:trHeight w:val="900"/>
          <w:tblHeader/>
        </w:trPr>
        <w:tc>
          <w:tcPr>
            <w:tcW w:w="127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2EAE00" w14:textId="77777777" w:rsidR="005F0813" w:rsidRPr="00694141" w:rsidRDefault="005F0813" w:rsidP="00694141">
            <w:pPr>
              <w:rPr>
                <w:b/>
                <w:bCs/>
                <w:lang w:eastAsia="en-AU"/>
              </w:rPr>
            </w:pPr>
            <w:bookmarkStart w:id="30" w:name="Title_Table_8"/>
            <w:bookmarkEnd w:id="30"/>
            <w:r w:rsidRPr="00694141">
              <w:rPr>
                <w:b/>
                <w:bCs/>
                <w:lang w:eastAsia="en-AU"/>
              </w:rPr>
              <w:t>Year</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61D6330E" w14:textId="77777777" w:rsidR="005F0813" w:rsidRPr="00694141" w:rsidRDefault="005F0813" w:rsidP="00694141">
            <w:pPr>
              <w:rPr>
                <w:b/>
                <w:bCs/>
                <w:lang w:eastAsia="en-AU"/>
              </w:rPr>
            </w:pPr>
            <w:r w:rsidRPr="00694141">
              <w:rPr>
                <w:b/>
                <w:bCs/>
                <w:lang w:eastAsia="en-AU"/>
              </w:rPr>
              <w:t>Agree or strongly agree</w:t>
            </w:r>
          </w:p>
        </w:tc>
      </w:tr>
      <w:tr w:rsidR="005F0813" w:rsidRPr="00EC49DA" w14:paraId="5A250586"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48204C" w14:textId="77777777" w:rsidR="005F0813" w:rsidRPr="00EC49DA" w:rsidRDefault="005F0813" w:rsidP="000552EE">
            <w:pPr>
              <w:rPr>
                <w:lang w:eastAsia="en-AU"/>
              </w:rPr>
            </w:pPr>
            <w:r w:rsidRPr="00EC49DA">
              <w:rPr>
                <w:lang w:eastAsia="en-AU"/>
              </w:rPr>
              <w:t>2018</w:t>
            </w:r>
          </w:p>
        </w:tc>
        <w:tc>
          <w:tcPr>
            <w:tcW w:w="2977" w:type="dxa"/>
            <w:tcBorders>
              <w:top w:val="nil"/>
              <w:left w:val="nil"/>
              <w:bottom w:val="single" w:sz="4" w:space="0" w:color="auto"/>
              <w:right w:val="single" w:sz="4" w:space="0" w:color="auto"/>
            </w:tcBorders>
            <w:shd w:val="clear" w:color="auto" w:fill="auto"/>
            <w:noWrap/>
            <w:vAlign w:val="center"/>
            <w:hideMark/>
          </w:tcPr>
          <w:p w14:paraId="2C0BC22D" w14:textId="77777777" w:rsidR="005F0813" w:rsidRPr="00EC49DA" w:rsidRDefault="005F0813" w:rsidP="000552EE">
            <w:pPr>
              <w:rPr>
                <w:lang w:eastAsia="en-AU"/>
              </w:rPr>
            </w:pPr>
            <w:r w:rsidRPr="00EC49DA">
              <w:rPr>
                <w:lang w:eastAsia="en-AU"/>
              </w:rPr>
              <w:t>16</w:t>
            </w:r>
            <w:r>
              <w:rPr>
                <w:lang w:eastAsia="en-AU"/>
              </w:rPr>
              <w:t xml:space="preserve"> per cent</w:t>
            </w:r>
          </w:p>
        </w:tc>
      </w:tr>
      <w:tr w:rsidR="005F0813" w:rsidRPr="00EC49DA" w14:paraId="1F4B2446"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51C2F7" w14:textId="77777777" w:rsidR="005F0813" w:rsidRPr="00EC49DA" w:rsidRDefault="005F0813" w:rsidP="000552EE">
            <w:pPr>
              <w:rPr>
                <w:lang w:eastAsia="en-AU"/>
              </w:rPr>
            </w:pPr>
            <w:r w:rsidRPr="00EC49DA">
              <w:rPr>
                <w:lang w:eastAsia="en-AU"/>
              </w:rPr>
              <w:t>2019</w:t>
            </w:r>
          </w:p>
        </w:tc>
        <w:tc>
          <w:tcPr>
            <w:tcW w:w="2977" w:type="dxa"/>
            <w:tcBorders>
              <w:top w:val="nil"/>
              <w:left w:val="nil"/>
              <w:bottom w:val="single" w:sz="4" w:space="0" w:color="auto"/>
              <w:right w:val="single" w:sz="4" w:space="0" w:color="auto"/>
            </w:tcBorders>
            <w:shd w:val="clear" w:color="auto" w:fill="auto"/>
            <w:noWrap/>
            <w:vAlign w:val="center"/>
            <w:hideMark/>
          </w:tcPr>
          <w:p w14:paraId="30B15D0A" w14:textId="77777777" w:rsidR="005F0813" w:rsidRPr="00EC49DA" w:rsidRDefault="005F0813" w:rsidP="000552EE">
            <w:pPr>
              <w:rPr>
                <w:lang w:eastAsia="en-AU"/>
              </w:rPr>
            </w:pPr>
            <w:r w:rsidRPr="00EC49DA">
              <w:rPr>
                <w:lang w:eastAsia="en-AU"/>
              </w:rPr>
              <w:t>11</w:t>
            </w:r>
            <w:r>
              <w:rPr>
                <w:lang w:eastAsia="en-AU"/>
              </w:rPr>
              <w:t xml:space="preserve"> per cent</w:t>
            </w:r>
          </w:p>
        </w:tc>
      </w:tr>
      <w:tr w:rsidR="005F0813" w:rsidRPr="00EC49DA" w14:paraId="0A75F4D5"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BB4A87" w14:textId="77777777" w:rsidR="005F0813" w:rsidRPr="00EC49DA" w:rsidRDefault="005F0813" w:rsidP="000552EE">
            <w:pPr>
              <w:rPr>
                <w:lang w:eastAsia="en-AU"/>
              </w:rPr>
            </w:pPr>
            <w:r w:rsidRPr="00EC49DA">
              <w:rPr>
                <w:lang w:eastAsia="en-AU"/>
              </w:rPr>
              <w:lastRenderedPageBreak/>
              <w:t>2020</w:t>
            </w:r>
          </w:p>
        </w:tc>
        <w:tc>
          <w:tcPr>
            <w:tcW w:w="2977" w:type="dxa"/>
            <w:tcBorders>
              <w:top w:val="nil"/>
              <w:left w:val="nil"/>
              <w:bottom w:val="single" w:sz="4" w:space="0" w:color="auto"/>
              <w:right w:val="single" w:sz="4" w:space="0" w:color="auto"/>
            </w:tcBorders>
            <w:shd w:val="clear" w:color="auto" w:fill="auto"/>
            <w:noWrap/>
            <w:vAlign w:val="center"/>
            <w:hideMark/>
          </w:tcPr>
          <w:p w14:paraId="4C26E041" w14:textId="77777777" w:rsidR="005F0813" w:rsidRPr="00EC49DA" w:rsidRDefault="005F0813" w:rsidP="000552EE">
            <w:pPr>
              <w:rPr>
                <w:lang w:eastAsia="en-AU"/>
              </w:rPr>
            </w:pPr>
            <w:r w:rsidRPr="00EC49DA">
              <w:rPr>
                <w:lang w:eastAsia="en-AU"/>
              </w:rPr>
              <w:t>6</w:t>
            </w:r>
            <w:r>
              <w:rPr>
                <w:lang w:eastAsia="en-AU"/>
              </w:rPr>
              <w:t xml:space="preserve"> per cent</w:t>
            </w:r>
          </w:p>
        </w:tc>
      </w:tr>
      <w:tr w:rsidR="005F0813" w:rsidRPr="00EC49DA" w14:paraId="24FAB9C5"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3E5356" w14:textId="77777777" w:rsidR="005F0813" w:rsidRPr="00EC49DA" w:rsidRDefault="005F0813" w:rsidP="000552EE">
            <w:pPr>
              <w:rPr>
                <w:lang w:eastAsia="en-AU"/>
              </w:rPr>
            </w:pPr>
            <w:r w:rsidRPr="00EC49DA">
              <w:rPr>
                <w:lang w:eastAsia="en-AU"/>
              </w:rPr>
              <w:t>2021</w:t>
            </w:r>
          </w:p>
        </w:tc>
        <w:tc>
          <w:tcPr>
            <w:tcW w:w="2977" w:type="dxa"/>
            <w:tcBorders>
              <w:top w:val="nil"/>
              <w:left w:val="nil"/>
              <w:bottom w:val="single" w:sz="4" w:space="0" w:color="auto"/>
              <w:right w:val="single" w:sz="4" w:space="0" w:color="auto"/>
            </w:tcBorders>
            <w:shd w:val="clear" w:color="auto" w:fill="auto"/>
            <w:noWrap/>
            <w:vAlign w:val="center"/>
            <w:hideMark/>
          </w:tcPr>
          <w:p w14:paraId="741000C7" w14:textId="77777777" w:rsidR="005F0813" w:rsidRPr="00EC49DA" w:rsidRDefault="005F0813" w:rsidP="000552EE">
            <w:pPr>
              <w:rPr>
                <w:lang w:eastAsia="en-AU"/>
              </w:rPr>
            </w:pPr>
            <w:r w:rsidRPr="00EC49DA">
              <w:rPr>
                <w:lang w:eastAsia="en-AU"/>
              </w:rPr>
              <w:t>6</w:t>
            </w:r>
            <w:r>
              <w:rPr>
                <w:lang w:eastAsia="en-AU"/>
              </w:rPr>
              <w:t xml:space="preserve"> per cent</w:t>
            </w:r>
          </w:p>
        </w:tc>
      </w:tr>
      <w:tr w:rsidR="005F0813" w:rsidRPr="00EC49DA" w14:paraId="241A970F"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B58E90" w14:textId="77777777" w:rsidR="005F0813" w:rsidRPr="00EC49DA" w:rsidRDefault="005F0813" w:rsidP="000552EE">
            <w:pPr>
              <w:rPr>
                <w:lang w:eastAsia="en-AU"/>
              </w:rPr>
            </w:pPr>
            <w:r w:rsidRPr="00EC49DA">
              <w:rPr>
                <w:lang w:eastAsia="en-AU"/>
              </w:rPr>
              <w:t>2022</w:t>
            </w:r>
          </w:p>
        </w:tc>
        <w:tc>
          <w:tcPr>
            <w:tcW w:w="2977" w:type="dxa"/>
            <w:tcBorders>
              <w:top w:val="nil"/>
              <w:left w:val="nil"/>
              <w:bottom w:val="single" w:sz="4" w:space="0" w:color="auto"/>
              <w:right w:val="single" w:sz="4" w:space="0" w:color="auto"/>
            </w:tcBorders>
            <w:shd w:val="clear" w:color="auto" w:fill="auto"/>
            <w:noWrap/>
            <w:vAlign w:val="center"/>
            <w:hideMark/>
          </w:tcPr>
          <w:p w14:paraId="6D2AF58A" w14:textId="77777777" w:rsidR="005F0813" w:rsidRPr="00EC49DA" w:rsidRDefault="005F0813" w:rsidP="000552EE">
            <w:pPr>
              <w:rPr>
                <w:lang w:eastAsia="en-AU"/>
              </w:rPr>
            </w:pPr>
            <w:r w:rsidRPr="00EC49DA">
              <w:rPr>
                <w:lang w:eastAsia="en-AU"/>
              </w:rPr>
              <w:t>9</w:t>
            </w:r>
            <w:r>
              <w:rPr>
                <w:lang w:eastAsia="en-AU"/>
              </w:rPr>
              <w:t xml:space="preserve"> per cent</w:t>
            </w:r>
          </w:p>
        </w:tc>
      </w:tr>
      <w:tr w:rsidR="005F0813" w:rsidRPr="00EC49DA" w14:paraId="3140C07A"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21F1E4" w14:textId="77777777" w:rsidR="005F0813" w:rsidRPr="00EC49DA" w:rsidRDefault="005F0813" w:rsidP="000552EE">
            <w:pPr>
              <w:rPr>
                <w:lang w:eastAsia="en-AU"/>
              </w:rPr>
            </w:pPr>
            <w:r w:rsidRPr="00EC49DA">
              <w:rPr>
                <w:lang w:eastAsia="en-AU"/>
              </w:rPr>
              <w:t>2023</w:t>
            </w:r>
          </w:p>
        </w:tc>
        <w:tc>
          <w:tcPr>
            <w:tcW w:w="2977" w:type="dxa"/>
            <w:tcBorders>
              <w:top w:val="nil"/>
              <w:left w:val="nil"/>
              <w:bottom w:val="single" w:sz="4" w:space="0" w:color="auto"/>
              <w:right w:val="single" w:sz="4" w:space="0" w:color="auto"/>
            </w:tcBorders>
            <w:shd w:val="clear" w:color="auto" w:fill="auto"/>
            <w:noWrap/>
            <w:vAlign w:val="center"/>
            <w:hideMark/>
          </w:tcPr>
          <w:p w14:paraId="504990B1" w14:textId="77777777" w:rsidR="005F0813" w:rsidRPr="00EC49DA" w:rsidRDefault="005F0813" w:rsidP="000552EE">
            <w:pPr>
              <w:rPr>
                <w:lang w:eastAsia="en-AU"/>
              </w:rPr>
            </w:pPr>
            <w:r w:rsidRPr="00EC49DA">
              <w:rPr>
                <w:lang w:eastAsia="en-AU"/>
              </w:rPr>
              <w:t>9</w:t>
            </w:r>
            <w:r>
              <w:rPr>
                <w:lang w:eastAsia="en-AU"/>
              </w:rPr>
              <w:t xml:space="preserve"> per cent</w:t>
            </w:r>
          </w:p>
        </w:tc>
      </w:tr>
      <w:tr w:rsidR="005F0813" w:rsidRPr="00EC49DA" w14:paraId="02B51883" w14:textId="77777777" w:rsidTr="000552EE">
        <w:trPr>
          <w:trHeight w:val="30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24CA8F" w14:textId="77777777" w:rsidR="005F0813" w:rsidRPr="00EC49DA" w:rsidRDefault="005F0813" w:rsidP="000552EE">
            <w:pPr>
              <w:rPr>
                <w:lang w:eastAsia="en-AU"/>
              </w:rPr>
            </w:pPr>
            <w:r w:rsidRPr="00EC49DA">
              <w:rPr>
                <w:lang w:eastAsia="en-AU"/>
              </w:rPr>
              <w:t>2024</w:t>
            </w:r>
          </w:p>
        </w:tc>
        <w:tc>
          <w:tcPr>
            <w:tcW w:w="2977" w:type="dxa"/>
            <w:tcBorders>
              <w:top w:val="nil"/>
              <w:left w:val="nil"/>
              <w:bottom w:val="single" w:sz="4" w:space="0" w:color="auto"/>
              <w:right w:val="single" w:sz="4" w:space="0" w:color="auto"/>
            </w:tcBorders>
            <w:shd w:val="clear" w:color="auto" w:fill="auto"/>
            <w:noWrap/>
            <w:vAlign w:val="center"/>
            <w:hideMark/>
          </w:tcPr>
          <w:p w14:paraId="4A7B994E" w14:textId="77777777" w:rsidR="005F0813" w:rsidRPr="00EC49DA" w:rsidRDefault="005F0813" w:rsidP="000552EE">
            <w:pPr>
              <w:rPr>
                <w:lang w:eastAsia="en-AU"/>
              </w:rPr>
            </w:pPr>
            <w:r w:rsidRPr="00EC49DA">
              <w:rPr>
                <w:lang w:eastAsia="en-AU"/>
              </w:rPr>
              <w:t>21</w:t>
            </w:r>
            <w:r>
              <w:rPr>
                <w:lang w:eastAsia="en-AU"/>
              </w:rPr>
              <w:t xml:space="preserve"> per cent</w:t>
            </w:r>
          </w:p>
        </w:tc>
      </w:tr>
    </w:tbl>
    <w:p w14:paraId="021111F1" w14:textId="7E162F1F" w:rsidR="00B021DF" w:rsidRPr="00CD1AD0" w:rsidRDefault="00B021DF" w:rsidP="005F0813">
      <w:pPr>
        <w:pStyle w:val="NormalFirstAfterTable"/>
      </w:pPr>
      <w:r>
        <w:t xml:space="preserve">The respondents looking to exit the NDIS support a total of 28,713 people with </w:t>
      </w:r>
      <w:r w:rsidR="2D1E8DA6">
        <w:t>disability or</w:t>
      </w:r>
      <w:r>
        <w:t xml:space="preserve"> 17 per cent of participants covered by the survey.</w:t>
      </w:r>
    </w:p>
    <w:p w14:paraId="4D92E24D" w14:textId="77777777" w:rsidR="004316F3" w:rsidRDefault="7EFE1367" w:rsidP="0097062A">
      <w:r>
        <w:t>If the reported rate of providers considering getting out of the disability sector was reflected across the entire NDIS</w:t>
      </w:r>
      <w:r w:rsidR="00CC490C">
        <w:t>,</w:t>
      </w:r>
      <w:r>
        <w:t xml:space="preserve"> more than 100,000 people with disability </w:t>
      </w:r>
      <w:r w:rsidR="00142C79">
        <w:t xml:space="preserve">may face </w:t>
      </w:r>
      <w:r w:rsidR="00D7256A">
        <w:t>disruption in their existing supports</w:t>
      </w:r>
      <w:r w:rsidR="00142C79">
        <w:t>.</w:t>
      </w:r>
    </w:p>
    <w:p w14:paraId="0BF54310" w14:textId="77777777" w:rsidR="004316F3" w:rsidRDefault="00B021DF" w:rsidP="0097062A">
      <w:r>
        <w:t>Of the 51 per cent of responding organisations growing their organisation, 89 per cent are working on increasing their client base, 58 per cent are working on increasing workforce, 52 per cent are working on increasing the range of services they offer, 37 per cent are considering broadening their operations to include sectors beyond the disability sector, while 33 per cent are considering opening more service locations.</w:t>
      </w:r>
    </w:p>
    <w:p w14:paraId="5740E305" w14:textId="17009232" w:rsidR="00B021DF" w:rsidRPr="00E21061" w:rsidRDefault="00B021DF" w:rsidP="0097062A">
      <w:r>
        <w:t>A further 26 per cent are considering merging with another organisation and 18 per cent are considering taking management ownership of another organisation. These numbers have remained relatively stable compared to previous years.</w:t>
      </w:r>
    </w:p>
    <w:p w14:paraId="1EFF67D1" w14:textId="77777777" w:rsidR="004316F3" w:rsidRDefault="00B021DF" w:rsidP="0097062A">
      <w:r>
        <w:t xml:space="preserve">Among open-text responses about why </w:t>
      </w:r>
      <w:r w:rsidR="00761F76">
        <w:t xml:space="preserve">they </w:t>
      </w:r>
      <w:r>
        <w:t>are not actively growing their organisation, respondents tended to indicate that it was not financially viable to do so:</w:t>
      </w:r>
    </w:p>
    <w:p w14:paraId="39C6152C" w14:textId="5B1A6772" w:rsidR="00B021DF" w:rsidRPr="00620176" w:rsidRDefault="00B021DF" w:rsidP="00293EF4">
      <w:pPr>
        <w:pStyle w:val="Quote"/>
      </w:pPr>
      <w:r w:rsidRPr="3DAEE324">
        <w:t>“Costs have exploded out of control</w:t>
      </w:r>
      <w:r w:rsidRPr="63B61490">
        <w:t>,</w:t>
      </w:r>
      <w:r w:rsidRPr="3DAEE324">
        <w:t xml:space="preserve"> and we are trying to stabilise as a result.”</w:t>
      </w:r>
    </w:p>
    <w:p w14:paraId="513A9878" w14:textId="77777777" w:rsidR="004316F3" w:rsidRDefault="00B021DF" w:rsidP="00293EF4">
      <w:pPr>
        <w:pStyle w:val="QuoteAuthor"/>
      </w:pPr>
      <w:r w:rsidRPr="00620176">
        <w:t>WA small not-for-profit</w:t>
      </w:r>
    </w:p>
    <w:p w14:paraId="649D6F8D" w14:textId="1409A639" w:rsidR="00B021DF" w:rsidRPr="00620176" w:rsidRDefault="00B021DF" w:rsidP="00293EF4">
      <w:pPr>
        <w:pStyle w:val="Quote"/>
      </w:pPr>
      <w:r w:rsidRPr="63B61490">
        <w:t>“We are financially and strategically struggling.”</w:t>
      </w:r>
    </w:p>
    <w:p w14:paraId="7D7826D7" w14:textId="77777777" w:rsidR="004316F3" w:rsidRDefault="00B021DF" w:rsidP="00293EF4">
      <w:pPr>
        <w:pStyle w:val="QuoteAuthor"/>
      </w:pPr>
      <w:r w:rsidRPr="00620176">
        <w:t>NSW small not-for-profit</w:t>
      </w:r>
    </w:p>
    <w:p w14:paraId="68583D6F" w14:textId="4FF82389" w:rsidR="00B021DF" w:rsidRPr="00620176" w:rsidRDefault="00B021DF" w:rsidP="00293EF4">
      <w:pPr>
        <w:pStyle w:val="Quote"/>
      </w:pPr>
      <w:r w:rsidRPr="3DAEE324">
        <w:lastRenderedPageBreak/>
        <w:t xml:space="preserve">“We are losing money. </w:t>
      </w:r>
      <w:proofErr w:type="gramStart"/>
      <w:r w:rsidRPr="3DAEE324">
        <w:t>At the moment</w:t>
      </w:r>
      <w:proofErr w:type="gramEnd"/>
      <w:r w:rsidRPr="3DAEE324">
        <w:t xml:space="preserve"> it seems like if we grow the disability services</w:t>
      </w:r>
      <w:r w:rsidR="00A9050F">
        <w:t>,</w:t>
      </w:r>
      <w:r w:rsidRPr="3DAEE324">
        <w:t xml:space="preserve"> we will simply lose more money faster.”</w:t>
      </w:r>
    </w:p>
    <w:p w14:paraId="43F1A296" w14:textId="77777777" w:rsidR="004316F3" w:rsidRDefault="00B021DF" w:rsidP="00293EF4">
      <w:pPr>
        <w:pStyle w:val="QuoteAuthor"/>
      </w:pPr>
      <w:r w:rsidRPr="00620176">
        <w:t>WA large not-for-profit</w:t>
      </w:r>
    </w:p>
    <w:p w14:paraId="4E27022A" w14:textId="77777777" w:rsidR="004316F3" w:rsidRDefault="00B021DF" w:rsidP="0097062A">
      <w:pPr>
        <w:rPr>
          <w:rFonts w:eastAsiaTheme="minorEastAsia"/>
        </w:rPr>
      </w:pPr>
      <w:r>
        <w:t>Several respondents described the high risks associated with attempts to grow their organisations:</w:t>
      </w:r>
    </w:p>
    <w:p w14:paraId="13C2EDD6" w14:textId="27F71D2D" w:rsidR="00B021DF" w:rsidRPr="00620176" w:rsidRDefault="00B021DF" w:rsidP="00293EF4">
      <w:pPr>
        <w:pStyle w:val="Quote"/>
      </w:pPr>
      <w:r w:rsidRPr="28DCED7E">
        <w:t xml:space="preserve">“We are a high-quality service </w:t>
      </w:r>
      <w:r w:rsidR="00D86A21" w:rsidRPr="28DCED7E">
        <w:t>…</w:t>
      </w:r>
      <w:r w:rsidRPr="28DCED7E">
        <w:t xml:space="preserve"> that constantly finds itself in competition with unregistered people with no ethics. Why would we make things worse for ourselves by expanding?”</w:t>
      </w:r>
    </w:p>
    <w:p w14:paraId="72FECCD3" w14:textId="77777777" w:rsidR="004316F3" w:rsidRDefault="00B021DF" w:rsidP="00293EF4">
      <w:pPr>
        <w:pStyle w:val="QuoteAuthor"/>
      </w:pPr>
      <w:r w:rsidRPr="6766CE18">
        <w:t>Q</w:t>
      </w:r>
      <w:r w:rsidR="00890B4F" w:rsidRPr="6766CE18">
        <w:t>ld</w:t>
      </w:r>
      <w:r w:rsidRPr="00620176">
        <w:t xml:space="preserve"> small not-for-profit</w:t>
      </w:r>
    </w:p>
    <w:p w14:paraId="111FF878" w14:textId="498AF5A6" w:rsidR="00B021DF" w:rsidRPr="00620176" w:rsidRDefault="00B021DF" w:rsidP="00293EF4">
      <w:pPr>
        <w:pStyle w:val="Quote"/>
      </w:pPr>
      <w:r w:rsidRPr="0413A7C3">
        <w:t>“Skills shortages create risk.”</w:t>
      </w:r>
    </w:p>
    <w:p w14:paraId="32846C46" w14:textId="77777777" w:rsidR="004316F3" w:rsidRDefault="00B021DF" w:rsidP="00293EF4">
      <w:pPr>
        <w:pStyle w:val="QuoteAuthor"/>
      </w:pPr>
      <w:r w:rsidRPr="6766CE18">
        <w:t>V</w:t>
      </w:r>
      <w:r w:rsidR="00890B4F" w:rsidRPr="6766CE18">
        <w:t>ic</w:t>
      </w:r>
      <w:r w:rsidRPr="00620176">
        <w:t xml:space="preserve"> very small unregistered</w:t>
      </w:r>
    </w:p>
    <w:p w14:paraId="3725CF15" w14:textId="3404AD98" w:rsidR="00B021DF" w:rsidRPr="00620176" w:rsidRDefault="00B021DF" w:rsidP="00293EF4">
      <w:pPr>
        <w:pStyle w:val="Quote"/>
      </w:pPr>
      <w:r w:rsidRPr="66BC77C0">
        <w:t>“Disability is too risky at the moment.”</w:t>
      </w:r>
    </w:p>
    <w:p w14:paraId="638BEF9C" w14:textId="77777777" w:rsidR="004316F3" w:rsidRDefault="00B021DF" w:rsidP="00293EF4">
      <w:pPr>
        <w:pStyle w:val="QuoteAuthor"/>
      </w:pPr>
      <w:r w:rsidRPr="6766CE18">
        <w:t>Q</w:t>
      </w:r>
      <w:r w:rsidR="00890B4F" w:rsidRPr="6766CE18">
        <w:t>ld</w:t>
      </w:r>
      <w:r w:rsidRPr="00620176">
        <w:t xml:space="preserve"> medium not-for-profit</w:t>
      </w:r>
    </w:p>
    <w:p w14:paraId="678A59C4" w14:textId="77777777" w:rsidR="004316F3" w:rsidRDefault="00B021DF" w:rsidP="0097062A">
      <w:pPr>
        <w:rPr>
          <w:rFonts w:eastAsiaTheme="minorEastAsia"/>
        </w:rPr>
      </w:pPr>
      <w:r>
        <w:t>Several respondents reported that “bigger does not necessarily mean better” or that they have closed or are about to close:</w:t>
      </w:r>
    </w:p>
    <w:p w14:paraId="16C3DF23" w14:textId="1D3A7AEB" w:rsidR="00B021DF" w:rsidRPr="00620176" w:rsidRDefault="00B021DF" w:rsidP="00293EF4">
      <w:pPr>
        <w:pStyle w:val="Quote"/>
      </w:pPr>
      <w:r w:rsidRPr="66BC77C0">
        <w:t xml:space="preserve">“Obviously growth and renewal </w:t>
      </w:r>
      <w:proofErr w:type="gramStart"/>
      <w:r w:rsidRPr="66BC77C0">
        <w:t>is</w:t>
      </w:r>
      <w:proofErr w:type="gramEnd"/>
      <w:r w:rsidRPr="66BC77C0">
        <w:t xml:space="preserve"> important but not at the expense of quality.”</w:t>
      </w:r>
    </w:p>
    <w:p w14:paraId="3D5A51A8" w14:textId="77777777" w:rsidR="004316F3" w:rsidRDefault="00B021DF" w:rsidP="00293EF4">
      <w:pPr>
        <w:pStyle w:val="QuoteAuthor"/>
      </w:pPr>
      <w:r w:rsidRPr="00620176">
        <w:t>NT medium not-for-profit</w:t>
      </w:r>
    </w:p>
    <w:p w14:paraId="07990315" w14:textId="27713711" w:rsidR="00B021DF" w:rsidRPr="00620176" w:rsidRDefault="00B021DF" w:rsidP="00293EF4">
      <w:pPr>
        <w:pStyle w:val="Quote"/>
      </w:pPr>
      <w:r w:rsidRPr="27A88DEB">
        <w:t>“Growing larger makes it more difficult to maintain meaningful partnerships with families and participants.”</w:t>
      </w:r>
    </w:p>
    <w:p w14:paraId="6303E16D" w14:textId="77777777" w:rsidR="004316F3" w:rsidRDefault="00B021DF" w:rsidP="00293EF4">
      <w:pPr>
        <w:pStyle w:val="QuoteAuthor"/>
      </w:pPr>
      <w:r w:rsidRPr="00620176">
        <w:t>NSW medium for-profit</w:t>
      </w:r>
    </w:p>
    <w:p w14:paraId="4C89D283" w14:textId="4CFB62A3" w:rsidR="00B021DF" w:rsidRPr="00620176" w:rsidRDefault="00B021DF" w:rsidP="00293EF4">
      <w:pPr>
        <w:pStyle w:val="Quote"/>
      </w:pPr>
      <w:r w:rsidRPr="27A88DEB">
        <w:t>“We don’t know if we can continue to remain in the sector.”</w:t>
      </w:r>
    </w:p>
    <w:p w14:paraId="47D9A852" w14:textId="77777777" w:rsidR="004316F3" w:rsidRDefault="00B021DF" w:rsidP="00293EF4">
      <w:pPr>
        <w:pStyle w:val="QuoteAuthor"/>
      </w:pPr>
      <w:r w:rsidRPr="00620176">
        <w:t>NSW very small for-profit</w:t>
      </w:r>
    </w:p>
    <w:p w14:paraId="453C451E" w14:textId="77777777" w:rsidR="004316F3" w:rsidRDefault="7EFE1367" w:rsidP="0097062A">
      <w:r>
        <w:t>In response to questions about improving business capability, 51 per cent of responding organisations are working on improving costing and pricing</w:t>
      </w:r>
      <w:r w:rsidR="00E36869">
        <w:t>,</w:t>
      </w:r>
      <w:r>
        <w:t xml:space="preserve"> significantly higher than in 2023. Forty percent are working on improving HR strategy and workforce planning</w:t>
      </w:r>
      <w:r w:rsidR="004E37C5">
        <w:t>,</w:t>
      </w:r>
      <w:r>
        <w:t xml:space="preserve"> 30 per cent are working on improving data reporting and use, 29 per cent are working on improving financial processes and controls, 28 per cent </w:t>
      </w:r>
      <w:r>
        <w:lastRenderedPageBreak/>
        <w:t>working on improving information, communications and technology, and 27 per cent working on improving market research, strategies and planning (a significantly higher proportion than in 2023).</w:t>
      </w:r>
    </w:p>
    <w:p w14:paraId="7F712A46" w14:textId="473E89E1" w:rsidR="00B021DF" w:rsidRPr="00E21061" w:rsidRDefault="7EFE1367" w:rsidP="0097062A">
      <w:r>
        <w:t>A further 26 per cent are working on improving employee learning and development</w:t>
      </w:r>
      <w:r w:rsidR="00414D7C">
        <w:t>,</w:t>
      </w:r>
      <w:r>
        <w:t xml:space="preserve"> while 25 per cent are working on improving development and implementation of strategic plans and business planning.</w:t>
      </w:r>
    </w:p>
    <w:p w14:paraId="336FC45B" w14:textId="3E5A01B8" w:rsidR="00B021DF" w:rsidRPr="00620176" w:rsidRDefault="0026437C" w:rsidP="0097062A">
      <w:r>
        <w:t>In other</w:t>
      </w:r>
      <w:r w:rsidR="00B021DF">
        <w:t xml:space="preserve"> areas where they could improve their business capability, respondents nominated customer engagement (22 per cent), qualified workforce (22 per cent), risk management and compliance (21 per cent), assistance with innovation and research (20 per cent), followed by records management (12 per cent), quality and safeguards (11 per cent), disability inclusion (10 per cent), and emergency management plans (</w:t>
      </w:r>
      <w:r w:rsidR="00B11B69">
        <w:t>three</w:t>
      </w:r>
      <w:r w:rsidR="00B021DF">
        <w:t xml:space="preserve"> per cent).</w:t>
      </w:r>
    </w:p>
    <w:p w14:paraId="195D320D" w14:textId="77777777" w:rsidR="004316F3" w:rsidRDefault="00B021DF" w:rsidP="0097062A">
      <w:pPr>
        <w:rPr>
          <w:rFonts w:eastAsiaTheme="minorEastAsia"/>
        </w:rPr>
      </w:pPr>
      <w:r>
        <w:t>Among the free-text responses about business capability areas that organisations need to improve most in the next 12 months, several respondents reported on the need for technological improvements, efficient use of resources, and the building of trust in business relationships:</w:t>
      </w:r>
    </w:p>
    <w:p w14:paraId="5BED1A52" w14:textId="41A2B096" w:rsidR="00B021DF" w:rsidRPr="00620176" w:rsidRDefault="00B021DF" w:rsidP="00FE3E26">
      <w:pPr>
        <w:pStyle w:val="Quote"/>
      </w:pPr>
      <w:r w:rsidRPr="57FCDCAC">
        <w:t>“Understanding and implementing AI.”</w:t>
      </w:r>
    </w:p>
    <w:p w14:paraId="24D0074B" w14:textId="77777777" w:rsidR="004316F3" w:rsidRDefault="00B021DF" w:rsidP="00293EF4">
      <w:pPr>
        <w:pStyle w:val="QuoteAuthor"/>
      </w:pPr>
      <w:r w:rsidRPr="00620176">
        <w:t>NSW large not-for-profit</w:t>
      </w:r>
    </w:p>
    <w:p w14:paraId="01AA15C8" w14:textId="2755E21C" w:rsidR="00B021DF" w:rsidRPr="00620176" w:rsidRDefault="00B021DF" w:rsidP="00FE3E26">
      <w:pPr>
        <w:pStyle w:val="Quote"/>
      </w:pPr>
      <w:r w:rsidRPr="57FCDCAC">
        <w:t>“Wise use of resources, including buildings and land”.</w:t>
      </w:r>
    </w:p>
    <w:p w14:paraId="37CA050F" w14:textId="77777777" w:rsidR="004316F3" w:rsidRDefault="00B021DF" w:rsidP="00293EF4">
      <w:pPr>
        <w:pStyle w:val="QuoteAuthor"/>
      </w:pPr>
      <w:r w:rsidRPr="6766CE18">
        <w:t>V</w:t>
      </w:r>
      <w:r w:rsidR="00890B4F" w:rsidRPr="6766CE18">
        <w:t>ic</w:t>
      </w:r>
      <w:r w:rsidRPr="00620176">
        <w:t xml:space="preserve"> medium not-for-profit</w:t>
      </w:r>
    </w:p>
    <w:p w14:paraId="295FC6B6" w14:textId="5BB487C9" w:rsidR="00B021DF" w:rsidRPr="00620176" w:rsidRDefault="00B021DF" w:rsidP="00FE3E26">
      <w:pPr>
        <w:pStyle w:val="Quote"/>
      </w:pPr>
      <w:r w:rsidRPr="684C6638">
        <w:t>“Strengthening trust in relationships.”</w:t>
      </w:r>
    </w:p>
    <w:p w14:paraId="1FEFE1FA" w14:textId="77777777" w:rsidR="004316F3" w:rsidRDefault="00B021DF" w:rsidP="00293EF4">
      <w:pPr>
        <w:pStyle w:val="QuoteAuthor"/>
      </w:pPr>
      <w:r w:rsidRPr="6766CE18">
        <w:t>Q</w:t>
      </w:r>
      <w:r w:rsidR="00890B4F" w:rsidRPr="6766CE18">
        <w:t>ld</w:t>
      </w:r>
      <w:r w:rsidRPr="00620176">
        <w:t xml:space="preserve"> very small social enterprise</w:t>
      </w:r>
    </w:p>
    <w:p w14:paraId="407282B0" w14:textId="041B21E4" w:rsidR="00B021DF" w:rsidRPr="00620176" w:rsidRDefault="00B021DF" w:rsidP="0097062A">
      <w:pPr>
        <w:pStyle w:val="Heading3"/>
      </w:pPr>
      <w:r>
        <w:t>Access to data and research</w:t>
      </w:r>
    </w:p>
    <w:p w14:paraId="5C756A8D" w14:textId="3C625604" w:rsidR="004316F3" w:rsidRDefault="00B021DF" w:rsidP="0097062A">
      <w:r>
        <w:t xml:space="preserve">Respondents indicated that they continue to lack access to sufficient, timely and easily accessible data that they need to plan services (58 per cent, up four per cent from last year). Similarly, 59 per cent of respondents indicated that they lack the research evidence they need </w:t>
      </w:r>
      <w:proofErr w:type="gramStart"/>
      <w:r>
        <w:t>in order to</w:t>
      </w:r>
      <w:proofErr w:type="gramEnd"/>
      <w:r>
        <w:t xml:space="preserve"> offer services that adhere to best practices (up five per cent from last year). Worse, this year saw a 12 per cent increase in </w:t>
      </w:r>
      <w:r>
        <w:lastRenderedPageBreak/>
        <w:t>organisations who report that NDIS pricing and regulations are barriers to providing innovative services that respond to participant needs</w:t>
      </w:r>
      <w:r w:rsidR="00031852" w:rsidRPr="007B3F2D">
        <w:t xml:space="preserve"> </w:t>
      </w:r>
      <w:r w:rsidR="00031852">
        <w:t xml:space="preserve">(see </w:t>
      </w:r>
      <w:r w:rsidR="00031852">
        <w:fldChar w:fldCharType="begin"/>
      </w:r>
      <w:r w:rsidR="00031852">
        <w:instrText xml:space="preserve"> REF _Ref183699992 \h </w:instrText>
      </w:r>
      <w:r w:rsidR="00031852">
        <w:fldChar w:fldCharType="separate"/>
      </w:r>
      <w:r w:rsidR="009D342F">
        <w:t>Table </w:t>
      </w:r>
      <w:r w:rsidR="00031852">
        <w:rPr>
          <w:noProof/>
        </w:rPr>
        <w:t>9</w:t>
      </w:r>
      <w:r w:rsidR="00031852">
        <w:fldChar w:fldCharType="end"/>
      </w:r>
      <w:r w:rsidR="00031852">
        <w:t>)</w:t>
      </w:r>
      <w:r>
        <w:t xml:space="preserve">. This worrying </w:t>
      </w:r>
      <w:r w:rsidR="00E36869">
        <w:t>trend, which</w:t>
      </w:r>
      <w:r>
        <w:t xml:space="preserve"> we noticed in 2023</w:t>
      </w:r>
      <w:r w:rsidR="00E36869">
        <w:t>,</w:t>
      </w:r>
      <w:r>
        <w:t xml:space="preserve"> has only increased.</w:t>
      </w:r>
    </w:p>
    <w:p w14:paraId="7EC27CBF" w14:textId="1E6C093C" w:rsidR="00B50CFF" w:rsidRPr="00FE3E26" w:rsidRDefault="009D342F" w:rsidP="005366DB">
      <w:pPr>
        <w:pStyle w:val="Caption"/>
      </w:pPr>
      <w:bookmarkStart w:id="31" w:name="_Ref183699992"/>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9</w:t>
      </w:r>
      <w:r w:rsidR="0007250B" w:rsidRPr="001A77F7">
        <w:rPr>
          <w:b/>
          <w:bCs/>
          <w:noProof/>
        </w:rPr>
        <w:fldChar w:fldCharType="end"/>
      </w:r>
      <w:bookmarkEnd w:id="31"/>
      <w:r w:rsidR="00B50CFF" w:rsidRPr="00205938">
        <w:rPr>
          <w:bCs/>
        </w:rPr>
        <w:t xml:space="preserve"> </w:t>
      </w:r>
      <w:r w:rsidR="00B50CFF" w:rsidRPr="00FE3E26">
        <w:t>Access to data and research</w:t>
      </w:r>
    </w:p>
    <w:tbl>
      <w:tblPr>
        <w:tblW w:w="9634" w:type="dxa"/>
        <w:tblLook w:val="04A0" w:firstRow="1" w:lastRow="0" w:firstColumn="1" w:lastColumn="0" w:noHBand="0" w:noVBand="1"/>
        <w:tblCaption w:val="Table 9 Access to data and research"/>
        <w:tblDescription w:val="A table showing the percentage of respondents who agree or disagree that the data and research available in the sector is sufficient."/>
      </w:tblPr>
      <w:tblGrid>
        <w:gridCol w:w="4673"/>
        <w:gridCol w:w="1701"/>
        <w:gridCol w:w="1559"/>
        <w:gridCol w:w="1701"/>
      </w:tblGrid>
      <w:tr w:rsidR="005F0813" w:rsidRPr="00694141" w14:paraId="55690D87" w14:textId="77777777" w:rsidTr="00694141">
        <w:trPr>
          <w:trHeight w:val="1227"/>
          <w:tblHeader/>
        </w:trPr>
        <w:tc>
          <w:tcPr>
            <w:tcW w:w="467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6A43F47" w14:textId="77777777" w:rsidR="005F0813" w:rsidRPr="00694141" w:rsidRDefault="005F0813" w:rsidP="00694141">
            <w:pPr>
              <w:rPr>
                <w:b/>
                <w:bCs/>
                <w:lang w:eastAsia="en-AU"/>
              </w:rPr>
            </w:pPr>
            <w:bookmarkStart w:id="32" w:name="Title_Table_9"/>
            <w:bookmarkEnd w:id="32"/>
            <w:r w:rsidRPr="00694141">
              <w:rPr>
                <w:b/>
                <w:bCs/>
                <w:lang w:eastAsia="en-AU"/>
              </w:rPr>
              <w:t>Statement</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61C5A43" w14:textId="77777777" w:rsidR="005F0813" w:rsidRPr="00694141" w:rsidRDefault="005F0813" w:rsidP="00694141">
            <w:pPr>
              <w:rPr>
                <w:b/>
                <w:bCs/>
                <w:lang w:eastAsia="en-AU"/>
              </w:rPr>
            </w:pPr>
            <w:r w:rsidRPr="00694141">
              <w:rPr>
                <w:b/>
                <w:bCs/>
                <w:lang w:eastAsia="en-AU"/>
              </w:rPr>
              <w:t>Disagree or strongly disagree</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8BFA385" w14:textId="77777777" w:rsidR="005F0813" w:rsidRPr="00694141" w:rsidRDefault="005F0813" w:rsidP="00694141">
            <w:pPr>
              <w:rPr>
                <w:b/>
                <w:bCs/>
                <w:lang w:eastAsia="en-AU"/>
              </w:rPr>
            </w:pPr>
            <w:r w:rsidRPr="00694141">
              <w:rPr>
                <w:b/>
                <w:bCs/>
                <w:lang w:eastAsia="en-AU"/>
              </w:rPr>
              <w:t>Neither agree nor disagree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AF0DD5E" w14:textId="77777777" w:rsidR="005F0813" w:rsidRPr="00694141" w:rsidRDefault="005F0813" w:rsidP="00694141">
            <w:pPr>
              <w:rPr>
                <w:b/>
                <w:bCs/>
                <w:lang w:eastAsia="en-AU"/>
              </w:rPr>
            </w:pPr>
            <w:r w:rsidRPr="00694141">
              <w:rPr>
                <w:b/>
                <w:bCs/>
                <w:lang w:eastAsia="en-AU"/>
              </w:rPr>
              <w:t>Agree or strongly agree</w:t>
            </w:r>
          </w:p>
        </w:tc>
      </w:tr>
      <w:tr w:rsidR="005F0813" w:rsidRPr="002B743D" w14:paraId="26E5ED7E" w14:textId="77777777" w:rsidTr="00694141">
        <w:trPr>
          <w:trHeight w:val="12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A38DE97" w14:textId="37ADD036" w:rsidR="005F0813" w:rsidRPr="002B743D" w:rsidRDefault="005F0813" w:rsidP="005E4C32">
            <w:pPr>
              <w:rPr>
                <w:lang w:eastAsia="en-AU"/>
              </w:rPr>
            </w:pPr>
            <w:r w:rsidRPr="002B743D">
              <w:rPr>
                <w:lang w:eastAsia="en-AU"/>
              </w:rPr>
              <w:t xml:space="preserve">Taken together, NDIS Pricing and Regulation are conducive to providing innovative services that respond to </w:t>
            </w:r>
            <w:r w:rsidR="005E4C32">
              <w:rPr>
                <w:lang w:eastAsia="en-AU"/>
              </w:rPr>
              <w:t>p</w:t>
            </w:r>
            <w:r w:rsidRPr="002B743D">
              <w:rPr>
                <w:lang w:eastAsia="en-AU"/>
              </w:rPr>
              <w:t>articipant needs</w:t>
            </w:r>
          </w:p>
        </w:tc>
        <w:tc>
          <w:tcPr>
            <w:tcW w:w="1701" w:type="dxa"/>
            <w:tcBorders>
              <w:top w:val="nil"/>
              <w:left w:val="nil"/>
              <w:bottom w:val="single" w:sz="4" w:space="0" w:color="auto"/>
              <w:right w:val="single" w:sz="4" w:space="0" w:color="auto"/>
            </w:tcBorders>
            <w:shd w:val="clear" w:color="auto" w:fill="auto"/>
            <w:noWrap/>
            <w:vAlign w:val="center"/>
            <w:hideMark/>
          </w:tcPr>
          <w:p w14:paraId="32C02BEF" w14:textId="77777777" w:rsidR="005F0813" w:rsidRPr="002B743D" w:rsidRDefault="005F0813" w:rsidP="005E4C32">
            <w:pPr>
              <w:rPr>
                <w:lang w:eastAsia="en-AU"/>
              </w:rPr>
            </w:pPr>
            <w:r w:rsidRPr="002B743D">
              <w:rPr>
                <w:lang w:eastAsia="en-AU"/>
              </w:rPr>
              <w:t>89 per cent</w:t>
            </w:r>
          </w:p>
        </w:tc>
        <w:tc>
          <w:tcPr>
            <w:tcW w:w="1559" w:type="dxa"/>
            <w:tcBorders>
              <w:top w:val="nil"/>
              <w:left w:val="nil"/>
              <w:bottom w:val="single" w:sz="4" w:space="0" w:color="auto"/>
              <w:right w:val="single" w:sz="4" w:space="0" w:color="auto"/>
            </w:tcBorders>
            <w:shd w:val="clear" w:color="auto" w:fill="auto"/>
            <w:noWrap/>
            <w:vAlign w:val="center"/>
            <w:hideMark/>
          </w:tcPr>
          <w:p w14:paraId="11624AF1" w14:textId="77777777" w:rsidR="005F0813" w:rsidRPr="002B743D" w:rsidRDefault="005F0813" w:rsidP="005E4C32">
            <w:pPr>
              <w:rPr>
                <w:lang w:eastAsia="en-AU"/>
              </w:rPr>
            </w:pPr>
            <w:r w:rsidRPr="002B743D">
              <w:rPr>
                <w:lang w:eastAsia="en-AU"/>
              </w:rPr>
              <w:t>6 per cent</w:t>
            </w:r>
          </w:p>
        </w:tc>
        <w:tc>
          <w:tcPr>
            <w:tcW w:w="1701" w:type="dxa"/>
            <w:tcBorders>
              <w:top w:val="nil"/>
              <w:left w:val="nil"/>
              <w:bottom w:val="single" w:sz="4" w:space="0" w:color="auto"/>
              <w:right w:val="single" w:sz="4" w:space="0" w:color="auto"/>
            </w:tcBorders>
            <w:shd w:val="clear" w:color="auto" w:fill="auto"/>
            <w:noWrap/>
            <w:vAlign w:val="center"/>
            <w:hideMark/>
          </w:tcPr>
          <w:p w14:paraId="02E1AE3C" w14:textId="77777777" w:rsidR="005F0813" w:rsidRPr="002B743D" w:rsidRDefault="005F0813" w:rsidP="005E4C32">
            <w:pPr>
              <w:rPr>
                <w:lang w:eastAsia="en-AU"/>
              </w:rPr>
            </w:pPr>
            <w:r w:rsidRPr="002B743D">
              <w:rPr>
                <w:lang w:eastAsia="en-AU"/>
              </w:rPr>
              <w:t>6 per cent</w:t>
            </w:r>
          </w:p>
        </w:tc>
      </w:tr>
      <w:tr w:rsidR="005F0813" w:rsidRPr="002B743D" w14:paraId="1B4A584C" w14:textId="77777777" w:rsidTr="00694141">
        <w:trPr>
          <w:trHeight w:val="15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DD4CF5E" w14:textId="77777777" w:rsidR="005F0813" w:rsidRPr="002B743D" w:rsidRDefault="005F0813" w:rsidP="005E4C32">
            <w:pPr>
              <w:rPr>
                <w:lang w:eastAsia="en-AU"/>
              </w:rPr>
            </w:pPr>
            <w:r w:rsidRPr="002B743D">
              <w:rPr>
                <w:lang w:eastAsia="en-AU"/>
              </w:rPr>
              <w:t>The disability research evidence we need to offer services informed by the best available evidence is sufficient, easily accessible, and 'implementation ready'</w:t>
            </w:r>
          </w:p>
        </w:tc>
        <w:tc>
          <w:tcPr>
            <w:tcW w:w="1701" w:type="dxa"/>
            <w:tcBorders>
              <w:top w:val="nil"/>
              <w:left w:val="nil"/>
              <w:bottom w:val="single" w:sz="4" w:space="0" w:color="auto"/>
              <w:right w:val="single" w:sz="4" w:space="0" w:color="auto"/>
            </w:tcBorders>
            <w:shd w:val="clear" w:color="auto" w:fill="auto"/>
            <w:noWrap/>
            <w:vAlign w:val="center"/>
            <w:hideMark/>
          </w:tcPr>
          <w:p w14:paraId="48243CC3" w14:textId="77777777" w:rsidR="005F0813" w:rsidRPr="002B743D" w:rsidRDefault="005F0813" w:rsidP="005E4C32">
            <w:pPr>
              <w:rPr>
                <w:lang w:eastAsia="en-AU"/>
              </w:rPr>
            </w:pPr>
            <w:r w:rsidRPr="002B743D">
              <w:rPr>
                <w:lang w:eastAsia="en-AU"/>
              </w:rPr>
              <w:t>59 per cent</w:t>
            </w:r>
          </w:p>
        </w:tc>
        <w:tc>
          <w:tcPr>
            <w:tcW w:w="1559" w:type="dxa"/>
            <w:tcBorders>
              <w:top w:val="nil"/>
              <w:left w:val="nil"/>
              <w:bottom w:val="single" w:sz="4" w:space="0" w:color="auto"/>
              <w:right w:val="single" w:sz="4" w:space="0" w:color="auto"/>
            </w:tcBorders>
            <w:shd w:val="clear" w:color="auto" w:fill="auto"/>
            <w:noWrap/>
            <w:vAlign w:val="center"/>
            <w:hideMark/>
          </w:tcPr>
          <w:p w14:paraId="313BE918" w14:textId="77777777" w:rsidR="005F0813" w:rsidRPr="002B743D" w:rsidRDefault="005F0813" w:rsidP="005E4C32">
            <w:pPr>
              <w:rPr>
                <w:lang w:eastAsia="en-AU"/>
              </w:rPr>
            </w:pPr>
            <w:r w:rsidRPr="002B743D">
              <w:rPr>
                <w:lang w:eastAsia="en-AU"/>
              </w:rPr>
              <w:t>27 per cent</w:t>
            </w:r>
          </w:p>
        </w:tc>
        <w:tc>
          <w:tcPr>
            <w:tcW w:w="1701" w:type="dxa"/>
            <w:tcBorders>
              <w:top w:val="nil"/>
              <w:left w:val="nil"/>
              <w:bottom w:val="single" w:sz="4" w:space="0" w:color="auto"/>
              <w:right w:val="single" w:sz="4" w:space="0" w:color="auto"/>
            </w:tcBorders>
            <w:shd w:val="clear" w:color="auto" w:fill="auto"/>
            <w:noWrap/>
            <w:vAlign w:val="center"/>
            <w:hideMark/>
          </w:tcPr>
          <w:p w14:paraId="626A18E8" w14:textId="77777777" w:rsidR="005F0813" w:rsidRPr="002B743D" w:rsidRDefault="005F0813" w:rsidP="005E4C32">
            <w:pPr>
              <w:rPr>
                <w:lang w:eastAsia="en-AU"/>
              </w:rPr>
            </w:pPr>
            <w:r w:rsidRPr="002B743D">
              <w:rPr>
                <w:lang w:eastAsia="en-AU"/>
              </w:rPr>
              <w:t>14 per cent</w:t>
            </w:r>
          </w:p>
        </w:tc>
      </w:tr>
      <w:tr w:rsidR="005F0813" w:rsidRPr="002B743D" w14:paraId="5416E7DC" w14:textId="77777777" w:rsidTr="00694141">
        <w:trPr>
          <w:trHeight w:val="900"/>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E2A1130" w14:textId="77777777" w:rsidR="005F0813" w:rsidRPr="002B743D" w:rsidRDefault="005F0813" w:rsidP="005E4C32">
            <w:pPr>
              <w:rPr>
                <w:lang w:eastAsia="en-AU"/>
              </w:rPr>
            </w:pPr>
            <w:r w:rsidRPr="002B743D">
              <w:rPr>
                <w:lang w:eastAsia="en-AU"/>
              </w:rPr>
              <w:t>The disability data we need to plan services is sufficient, timely, and easily accessible</w:t>
            </w:r>
          </w:p>
        </w:tc>
        <w:tc>
          <w:tcPr>
            <w:tcW w:w="1701" w:type="dxa"/>
            <w:tcBorders>
              <w:top w:val="nil"/>
              <w:left w:val="nil"/>
              <w:bottom w:val="single" w:sz="4" w:space="0" w:color="auto"/>
              <w:right w:val="single" w:sz="4" w:space="0" w:color="auto"/>
            </w:tcBorders>
            <w:shd w:val="clear" w:color="auto" w:fill="auto"/>
            <w:noWrap/>
            <w:vAlign w:val="center"/>
            <w:hideMark/>
          </w:tcPr>
          <w:p w14:paraId="7EE20D0A" w14:textId="77777777" w:rsidR="005F0813" w:rsidRPr="002B743D" w:rsidRDefault="005F0813" w:rsidP="005E4C32">
            <w:pPr>
              <w:rPr>
                <w:lang w:eastAsia="en-AU"/>
              </w:rPr>
            </w:pPr>
            <w:r w:rsidRPr="002B743D">
              <w:rPr>
                <w:lang w:eastAsia="en-AU"/>
              </w:rPr>
              <w:t>58 per cent</w:t>
            </w:r>
          </w:p>
        </w:tc>
        <w:tc>
          <w:tcPr>
            <w:tcW w:w="1559" w:type="dxa"/>
            <w:tcBorders>
              <w:top w:val="nil"/>
              <w:left w:val="nil"/>
              <w:bottom w:val="single" w:sz="4" w:space="0" w:color="auto"/>
              <w:right w:val="single" w:sz="4" w:space="0" w:color="auto"/>
            </w:tcBorders>
            <w:shd w:val="clear" w:color="auto" w:fill="auto"/>
            <w:noWrap/>
            <w:vAlign w:val="center"/>
            <w:hideMark/>
          </w:tcPr>
          <w:p w14:paraId="411B3816" w14:textId="77777777" w:rsidR="005F0813" w:rsidRPr="002B743D" w:rsidRDefault="005F0813" w:rsidP="005E4C32">
            <w:pPr>
              <w:rPr>
                <w:lang w:eastAsia="en-AU"/>
              </w:rPr>
            </w:pPr>
            <w:r w:rsidRPr="002B743D">
              <w:rPr>
                <w:lang w:eastAsia="en-AU"/>
              </w:rPr>
              <w:t>27 per cent</w:t>
            </w:r>
          </w:p>
        </w:tc>
        <w:tc>
          <w:tcPr>
            <w:tcW w:w="1701" w:type="dxa"/>
            <w:tcBorders>
              <w:top w:val="nil"/>
              <w:left w:val="nil"/>
              <w:bottom w:val="single" w:sz="4" w:space="0" w:color="auto"/>
              <w:right w:val="single" w:sz="4" w:space="0" w:color="auto"/>
            </w:tcBorders>
            <w:shd w:val="clear" w:color="auto" w:fill="auto"/>
            <w:noWrap/>
            <w:vAlign w:val="center"/>
            <w:hideMark/>
          </w:tcPr>
          <w:p w14:paraId="4C437CC8" w14:textId="77777777" w:rsidR="005F0813" w:rsidRPr="002B743D" w:rsidRDefault="005F0813" w:rsidP="005E4C32">
            <w:pPr>
              <w:rPr>
                <w:lang w:eastAsia="en-AU"/>
              </w:rPr>
            </w:pPr>
            <w:r w:rsidRPr="002B743D">
              <w:rPr>
                <w:lang w:eastAsia="en-AU"/>
              </w:rPr>
              <w:t>15 per cent</w:t>
            </w:r>
          </w:p>
        </w:tc>
      </w:tr>
    </w:tbl>
    <w:p w14:paraId="031BDA61" w14:textId="584126B8" w:rsidR="00B021DF" w:rsidRPr="00620176" w:rsidRDefault="00B021DF" w:rsidP="005F0813">
      <w:pPr>
        <w:pStyle w:val="Heading3"/>
        <w:spacing w:before="360"/>
      </w:pPr>
      <w:r>
        <w:t xml:space="preserve">Pandemic </w:t>
      </w:r>
      <w:r w:rsidR="507210F8">
        <w:t>i</w:t>
      </w:r>
      <w:r>
        <w:t>mpacts</w:t>
      </w:r>
    </w:p>
    <w:p w14:paraId="5E955ED4" w14:textId="2D899CAF" w:rsidR="00B021DF" w:rsidRPr="00620176" w:rsidRDefault="00B021DF" w:rsidP="0097062A">
      <w:r>
        <w:t>Organisations continue to recover from COVID-19</w:t>
      </w:r>
      <w:r w:rsidR="00DC68CD">
        <w:t>;</w:t>
      </w:r>
      <w:r>
        <w:t xml:space="preserve"> however</w:t>
      </w:r>
      <w:r w:rsidR="00DC68CD">
        <w:t>,</w:t>
      </w:r>
      <w:r>
        <w:t xml:space="preserve"> </w:t>
      </w:r>
      <w:r w:rsidR="004038E1">
        <w:t>61</w:t>
      </w:r>
      <w:r>
        <w:t xml:space="preserve"> per cent </w:t>
      </w:r>
      <w:r w:rsidR="004038E1">
        <w:t xml:space="preserve">think that there is an </w:t>
      </w:r>
      <w:r>
        <w:t>ongoing impact on the disability sector</w:t>
      </w:r>
      <w:r w:rsidR="004038E1">
        <w:t xml:space="preserve"> from the pandemic and 39 per cent do not</w:t>
      </w:r>
      <w:r w:rsidR="00031852" w:rsidRPr="007B3F2D">
        <w:t xml:space="preserve"> </w:t>
      </w:r>
      <w:r w:rsidR="00031852">
        <w:t xml:space="preserve">(see </w:t>
      </w:r>
      <w:r w:rsidR="00031852">
        <w:fldChar w:fldCharType="begin"/>
      </w:r>
      <w:r w:rsidR="00031852">
        <w:instrText xml:space="preserve"> REF _Ref183700031 \h </w:instrText>
      </w:r>
      <w:r w:rsidR="00031852">
        <w:fldChar w:fldCharType="separate"/>
      </w:r>
      <w:r w:rsidR="009D342F">
        <w:t>Table </w:t>
      </w:r>
      <w:r w:rsidR="00031852">
        <w:rPr>
          <w:noProof/>
        </w:rPr>
        <w:t>10</w:t>
      </w:r>
      <w:r w:rsidR="00031852">
        <w:fldChar w:fldCharType="end"/>
      </w:r>
      <w:r w:rsidR="00031852">
        <w:t>)</w:t>
      </w:r>
      <w:r>
        <w:t>. Not-for-profit organisations and those offering services in Victoria were significantly more likely to report continuing impacts from the pandemic compared with for-profit organisations and those not operating in Victoria.</w:t>
      </w:r>
    </w:p>
    <w:p w14:paraId="7A9AA9D7" w14:textId="2B160319" w:rsidR="00B50CFF" w:rsidRDefault="009D342F" w:rsidP="005366DB">
      <w:pPr>
        <w:pStyle w:val="Caption"/>
      </w:pPr>
      <w:bookmarkStart w:id="33" w:name="_Ref183700031"/>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10</w:t>
      </w:r>
      <w:r w:rsidR="0007250B" w:rsidRPr="001A77F7">
        <w:rPr>
          <w:b/>
          <w:bCs/>
          <w:noProof/>
        </w:rPr>
        <w:fldChar w:fldCharType="end"/>
      </w:r>
      <w:bookmarkEnd w:id="33"/>
      <w:r w:rsidR="00B50CFF" w:rsidRPr="00B044CC">
        <w:t xml:space="preserve"> </w:t>
      </w:r>
      <w:r w:rsidR="000F6AE4">
        <w:t>I</w:t>
      </w:r>
      <w:r w:rsidR="00B50CFF" w:rsidRPr="0023170C">
        <w:t>mpacts of the COVID-19 pandemic over time</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Impacts of the COVID-19 pandemic over time"/>
        <w:tblDescription w:val="A table showing the percentage of respondents who agree or disagree with the statement that there is an ongoing impact on the sector as a result of the pandemic. Trend data from 2022 to 2024."/>
      </w:tblPr>
      <w:tblGrid>
        <w:gridCol w:w="1180"/>
        <w:gridCol w:w="1650"/>
        <w:gridCol w:w="2268"/>
      </w:tblGrid>
      <w:tr w:rsidR="004E4798" w:rsidRPr="00694141" w14:paraId="1588C828" w14:textId="77777777" w:rsidTr="005F60E3">
        <w:trPr>
          <w:trHeight w:val="300"/>
          <w:tblHeader/>
        </w:trPr>
        <w:tc>
          <w:tcPr>
            <w:tcW w:w="1180" w:type="dxa"/>
            <w:shd w:val="clear" w:color="auto" w:fill="D9D9D9" w:themeFill="background1" w:themeFillShade="D9"/>
            <w:noWrap/>
            <w:vAlign w:val="center"/>
            <w:hideMark/>
          </w:tcPr>
          <w:p w14:paraId="38C1B7D0" w14:textId="77777777" w:rsidR="004E4798" w:rsidRPr="00694141" w:rsidRDefault="004E4798" w:rsidP="00694141">
            <w:pPr>
              <w:rPr>
                <w:b/>
                <w:bCs/>
                <w:lang w:eastAsia="en-AU"/>
              </w:rPr>
            </w:pPr>
            <w:bookmarkStart w:id="34" w:name="Title_Table_10"/>
            <w:bookmarkEnd w:id="34"/>
            <w:r w:rsidRPr="00694141">
              <w:rPr>
                <w:b/>
                <w:bCs/>
                <w:lang w:eastAsia="en-AU"/>
              </w:rPr>
              <w:t>Year</w:t>
            </w:r>
          </w:p>
        </w:tc>
        <w:tc>
          <w:tcPr>
            <w:tcW w:w="1650" w:type="dxa"/>
            <w:shd w:val="clear" w:color="auto" w:fill="D9D9D9" w:themeFill="background1" w:themeFillShade="D9"/>
            <w:noWrap/>
            <w:vAlign w:val="center"/>
            <w:hideMark/>
          </w:tcPr>
          <w:p w14:paraId="7AB5838C" w14:textId="77777777" w:rsidR="004E4798" w:rsidRPr="00694141" w:rsidRDefault="004E4798" w:rsidP="00694141">
            <w:pPr>
              <w:rPr>
                <w:b/>
                <w:bCs/>
                <w:lang w:eastAsia="en-AU"/>
              </w:rPr>
            </w:pPr>
            <w:r w:rsidRPr="00694141">
              <w:rPr>
                <w:b/>
                <w:bCs/>
                <w:lang w:eastAsia="en-AU"/>
              </w:rPr>
              <w:t>Yes</w:t>
            </w:r>
          </w:p>
        </w:tc>
        <w:tc>
          <w:tcPr>
            <w:tcW w:w="2268" w:type="dxa"/>
            <w:shd w:val="clear" w:color="auto" w:fill="D9D9D9" w:themeFill="background1" w:themeFillShade="D9"/>
            <w:noWrap/>
            <w:vAlign w:val="center"/>
            <w:hideMark/>
          </w:tcPr>
          <w:p w14:paraId="20847BA9" w14:textId="77777777" w:rsidR="004E4798" w:rsidRPr="00694141" w:rsidRDefault="004E4798" w:rsidP="00694141">
            <w:pPr>
              <w:rPr>
                <w:b/>
                <w:bCs/>
                <w:lang w:eastAsia="en-AU"/>
              </w:rPr>
            </w:pPr>
            <w:r w:rsidRPr="00694141">
              <w:rPr>
                <w:b/>
                <w:bCs/>
                <w:lang w:eastAsia="en-AU"/>
              </w:rPr>
              <w:t>No</w:t>
            </w:r>
          </w:p>
        </w:tc>
      </w:tr>
      <w:tr w:rsidR="004E4798" w:rsidRPr="00403A50" w14:paraId="1ACAC8CB" w14:textId="77777777" w:rsidTr="000A7E14">
        <w:trPr>
          <w:trHeight w:val="300"/>
        </w:trPr>
        <w:tc>
          <w:tcPr>
            <w:tcW w:w="1180" w:type="dxa"/>
            <w:shd w:val="clear" w:color="auto" w:fill="auto"/>
            <w:noWrap/>
            <w:vAlign w:val="center"/>
            <w:hideMark/>
          </w:tcPr>
          <w:p w14:paraId="3B735E21" w14:textId="77777777" w:rsidR="004E4798" w:rsidRPr="00403A50" w:rsidRDefault="004E4798" w:rsidP="005F60E3">
            <w:pPr>
              <w:rPr>
                <w:lang w:eastAsia="en-AU"/>
              </w:rPr>
            </w:pPr>
            <w:r w:rsidRPr="00403A50">
              <w:rPr>
                <w:lang w:eastAsia="en-AU"/>
              </w:rPr>
              <w:t>2022</w:t>
            </w:r>
          </w:p>
        </w:tc>
        <w:tc>
          <w:tcPr>
            <w:tcW w:w="1650" w:type="dxa"/>
            <w:shd w:val="clear" w:color="auto" w:fill="auto"/>
            <w:noWrap/>
            <w:vAlign w:val="center"/>
            <w:hideMark/>
          </w:tcPr>
          <w:p w14:paraId="53EEE949" w14:textId="77777777" w:rsidR="004E4798" w:rsidRPr="00403A50" w:rsidRDefault="004E4798" w:rsidP="005F60E3">
            <w:pPr>
              <w:rPr>
                <w:lang w:eastAsia="en-AU"/>
              </w:rPr>
            </w:pPr>
            <w:r w:rsidRPr="00403A50">
              <w:rPr>
                <w:lang w:eastAsia="en-AU"/>
              </w:rPr>
              <w:t>93</w:t>
            </w:r>
            <w:r>
              <w:rPr>
                <w:lang w:eastAsia="en-AU"/>
              </w:rPr>
              <w:t xml:space="preserve"> per cent</w:t>
            </w:r>
          </w:p>
        </w:tc>
        <w:tc>
          <w:tcPr>
            <w:tcW w:w="2268" w:type="dxa"/>
            <w:shd w:val="clear" w:color="auto" w:fill="auto"/>
            <w:noWrap/>
            <w:vAlign w:val="center"/>
            <w:hideMark/>
          </w:tcPr>
          <w:p w14:paraId="0F78726F" w14:textId="77777777" w:rsidR="004E4798" w:rsidRPr="00403A50" w:rsidRDefault="004E4798" w:rsidP="005F60E3">
            <w:pPr>
              <w:rPr>
                <w:lang w:eastAsia="en-AU"/>
              </w:rPr>
            </w:pPr>
            <w:r w:rsidRPr="00403A50">
              <w:rPr>
                <w:lang w:eastAsia="en-AU"/>
              </w:rPr>
              <w:t>7</w:t>
            </w:r>
            <w:r>
              <w:rPr>
                <w:lang w:eastAsia="en-AU"/>
              </w:rPr>
              <w:t xml:space="preserve"> per cent</w:t>
            </w:r>
          </w:p>
        </w:tc>
      </w:tr>
      <w:tr w:rsidR="004E4798" w:rsidRPr="00403A50" w14:paraId="468E3436" w14:textId="77777777" w:rsidTr="000A7E14">
        <w:trPr>
          <w:trHeight w:val="300"/>
        </w:trPr>
        <w:tc>
          <w:tcPr>
            <w:tcW w:w="1180" w:type="dxa"/>
            <w:shd w:val="clear" w:color="auto" w:fill="auto"/>
            <w:noWrap/>
            <w:vAlign w:val="center"/>
            <w:hideMark/>
          </w:tcPr>
          <w:p w14:paraId="7085DD9F" w14:textId="77777777" w:rsidR="004E4798" w:rsidRPr="00403A50" w:rsidRDefault="004E4798" w:rsidP="005F60E3">
            <w:pPr>
              <w:rPr>
                <w:lang w:eastAsia="en-AU"/>
              </w:rPr>
            </w:pPr>
            <w:r w:rsidRPr="00403A50">
              <w:rPr>
                <w:lang w:eastAsia="en-AU"/>
              </w:rPr>
              <w:lastRenderedPageBreak/>
              <w:t>2023</w:t>
            </w:r>
          </w:p>
        </w:tc>
        <w:tc>
          <w:tcPr>
            <w:tcW w:w="1650" w:type="dxa"/>
            <w:shd w:val="clear" w:color="auto" w:fill="auto"/>
            <w:noWrap/>
            <w:vAlign w:val="center"/>
            <w:hideMark/>
          </w:tcPr>
          <w:p w14:paraId="5A9420B6" w14:textId="77777777" w:rsidR="004E4798" w:rsidRPr="00403A50" w:rsidRDefault="004E4798" w:rsidP="005F60E3">
            <w:pPr>
              <w:rPr>
                <w:lang w:eastAsia="en-AU"/>
              </w:rPr>
            </w:pPr>
            <w:r w:rsidRPr="00403A50">
              <w:rPr>
                <w:lang w:eastAsia="en-AU"/>
              </w:rPr>
              <w:t>67</w:t>
            </w:r>
            <w:r>
              <w:rPr>
                <w:lang w:eastAsia="en-AU"/>
              </w:rPr>
              <w:t xml:space="preserve"> per cent</w:t>
            </w:r>
          </w:p>
        </w:tc>
        <w:tc>
          <w:tcPr>
            <w:tcW w:w="2268" w:type="dxa"/>
            <w:shd w:val="clear" w:color="auto" w:fill="auto"/>
            <w:noWrap/>
            <w:vAlign w:val="center"/>
            <w:hideMark/>
          </w:tcPr>
          <w:p w14:paraId="7FB7BB02" w14:textId="77777777" w:rsidR="004E4798" w:rsidRPr="00403A50" w:rsidRDefault="004E4798" w:rsidP="005F60E3">
            <w:pPr>
              <w:rPr>
                <w:lang w:eastAsia="en-AU"/>
              </w:rPr>
            </w:pPr>
            <w:r w:rsidRPr="00403A50">
              <w:rPr>
                <w:lang w:eastAsia="en-AU"/>
              </w:rPr>
              <w:t>33</w:t>
            </w:r>
            <w:r>
              <w:rPr>
                <w:lang w:eastAsia="en-AU"/>
              </w:rPr>
              <w:t xml:space="preserve"> per cent</w:t>
            </w:r>
          </w:p>
        </w:tc>
      </w:tr>
      <w:tr w:rsidR="004E4798" w:rsidRPr="00403A50" w14:paraId="0E995700" w14:textId="77777777" w:rsidTr="000A7E14">
        <w:trPr>
          <w:trHeight w:val="300"/>
        </w:trPr>
        <w:tc>
          <w:tcPr>
            <w:tcW w:w="1180" w:type="dxa"/>
            <w:shd w:val="clear" w:color="auto" w:fill="auto"/>
            <w:noWrap/>
            <w:vAlign w:val="center"/>
            <w:hideMark/>
          </w:tcPr>
          <w:p w14:paraId="5875D874" w14:textId="77777777" w:rsidR="004E4798" w:rsidRPr="00403A50" w:rsidRDefault="004E4798" w:rsidP="005F60E3">
            <w:pPr>
              <w:rPr>
                <w:lang w:eastAsia="en-AU"/>
              </w:rPr>
            </w:pPr>
            <w:r w:rsidRPr="00403A50">
              <w:rPr>
                <w:lang w:eastAsia="en-AU"/>
              </w:rPr>
              <w:t>2024</w:t>
            </w:r>
          </w:p>
        </w:tc>
        <w:tc>
          <w:tcPr>
            <w:tcW w:w="1650" w:type="dxa"/>
            <w:shd w:val="clear" w:color="auto" w:fill="auto"/>
            <w:noWrap/>
            <w:vAlign w:val="center"/>
            <w:hideMark/>
          </w:tcPr>
          <w:p w14:paraId="3BFDB601" w14:textId="77777777" w:rsidR="004E4798" w:rsidRPr="00403A50" w:rsidRDefault="004E4798" w:rsidP="005F60E3">
            <w:pPr>
              <w:rPr>
                <w:lang w:eastAsia="en-AU"/>
              </w:rPr>
            </w:pPr>
            <w:r w:rsidRPr="00403A50">
              <w:rPr>
                <w:lang w:eastAsia="en-AU"/>
              </w:rPr>
              <w:t>61</w:t>
            </w:r>
            <w:r>
              <w:rPr>
                <w:lang w:eastAsia="en-AU"/>
              </w:rPr>
              <w:t xml:space="preserve"> per cent</w:t>
            </w:r>
          </w:p>
        </w:tc>
        <w:tc>
          <w:tcPr>
            <w:tcW w:w="2268" w:type="dxa"/>
            <w:shd w:val="clear" w:color="auto" w:fill="auto"/>
            <w:noWrap/>
            <w:vAlign w:val="center"/>
            <w:hideMark/>
          </w:tcPr>
          <w:p w14:paraId="0F3C125E" w14:textId="77777777" w:rsidR="004E4798" w:rsidRPr="00403A50" w:rsidRDefault="004E4798" w:rsidP="005F60E3">
            <w:pPr>
              <w:rPr>
                <w:lang w:eastAsia="en-AU"/>
              </w:rPr>
            </w:pPr>
            <w:r w:rsidRPr="00403A50">
              <w:rPr>
                <w:lang w:eastAsia="en-AU"/>
              </w:rPr>
              <w:t>39</w:t>
            </w:r>
            <w:r>
              <w:rPr>
                <w:lang w:eastAsia="en-AU"/>
              </w:rPr>
              <w:t xml:space="preserve"> per cent</w:t>
            </w:r>
          </w:p>
        </w:tc>
      </w:tr>
    </w:tbl>
    <w:p w14:paraId="3125ADA8" w14:textId="0743D46E" w:rsidR="00B021DF" w:rsidRPr="00620176" w:rsidRDefault="00B021DF" w:rsidP="004E4798">
      <w:pPr>
        <w:pStyle w:val="NormalFirstAfterTable"/>
      </w:pPr>
      <w:r w:rsidRPr="08E40C98">
        <w:t xml:space="preserve">In free-text responses, respondents reported about ongoing pandemic impacts on </w:t>
      </w:r>
      <w:r w:rsidR="0023170C">
        <w:t>service workforce availability:</w:t>
      </w:r>
    </w:p>
    <w:p w14:paraId="20D66784" w14:textId="6747B100" w:rsidR="0023170C" w:rsidRDefault="0023170C" w:rsidP="0023170C">
      <w:pPr>
        <w:pStyle w:val="Quote"/>
      </w:pPr>
      <w:r>
        <w:t>“Changes in employment patterns leading to workforce shortages continue.”</w:t>
      </w:r>
    </w:p>
    <w:p w14:paraId="59D59EDC" w14:textId="33A01F1D" w:rsidR="004316F3" w:rsidRDefault="00B021DF" w:rsidP="0023170C">
      <w:pPr>
        <w:pStyle w:val="QuoteAuthor"/>
      </w:pPr>
      <w:r w:rsidRPr="6766CE18">
        <w:t>V</w:t>
      </w:r>
      <w:r w:rsidR="00A05892" w:rsidRPr="6766CE18">
        <w:t>ic</w:t>
      </w:r>
      <w:r w:rsidRPr="00620176">
        <w:t xml:space="preserve"> medium not for profit</w:t>
      </w:r>
    </w:p>
    <w:p w14:paraId="72B616A2" w14:textId="5C30DE86" w:rsidR="00B021DF" w:rsidRPr="00620176" w:rsidRDefault="00B021DF" w:rsidP="0023170C">
      <w:pPr>
        <w:pStyle w:val="Quote"/>
      </w:pPr>
      <w:r w:rsidRPr="7751F487">
        <w:t>“</w:t>
      </w:r>
      <w:r w:rsidRPr="0A5168A8">
        <w:t>COVID-19</w:t>
      </w:r>
      <w:r w:rsidRPr="7751F487">
        <w:t xml:space="preserve"> cases still have huge impacts on our workforce given the need for exclusion for set periods.”</w:t>
      </w:r>
    </w:p>
    <w:p w14:paraId="675C6F36" w14:textId="77777777" w:rsidR="004316F3" w:rsidRDefault="00B021DF" w:rsidP="0023170C">
      <w:pPr>
        <w:pStyle w:val="QuoteAuthor"/>
      </w:pPr>
      <w:r w:rsidRPr="00620176">
        <w:t>NSW medium not-for-profit</w:t>
      </w:r>
    </w:p>
    <w:p w14:paraId="444B0B12" w14:textId="77777777" w:rsidR="004316F3" w:rsidRDefault="00B021DF" w:rsidP="0097062A">
      <w:r w:rsidRPr="00620176">
        <w:t>Many respondents discussed ongoing pandemic impacts on service clients:</w:t>
      </w:r>
    </w:p>
    <w:p w14:paraId="3B90144E" w14:textId="60234641" w:rsidR="00B021DF" w:rsidRPr="00620176" w:rsidRDefault="00B021DF" w:rsidP="0023170C">
      <w:pPr>
        <w:pStyle w:val="Quote"/>
      </w:pPr>
      <w:r w:rsidRPr="7751F487">
        <w:t>“Because we support a vulnerable community</w:t>
      </w:r>
      <w:r w:rsidR="006857D7" w:rsidRPr="6766CE18">
        <w:t>,</w:t>
      </w:r>
      <w:r w:rsidRPr="7751F487">
        <w:t xml:space="preserve"> COVID</w:t>
      </w:r>
      <w:r w:rsidRPr="0A5168A8">
        <w:t>-19</w:t>
      </w:r>
      <w:r w:rsidRPr="7751F487">
        <w:t xml:space="preserve"> still presents as an unacceptable risk to client welfare in many settings, which is a little different than the general community.”</w:t>
      </w:r>
    </w:p>
    <w:p w14:paraId="58873329" w14:textId="77777777" w:rsidR="004316F3" w:rsidRDefault="00B021DF" w:rsidP="0023170C">
      <w:pPr>
        <w:pStyle w:val="QuoteAuthor"/>
      </w:pPr>
      <w:r w:rsidRPr="6766CE18">
        <w:t>T</w:t>
      </w:r>
      <w:r w:rsidR="00A05892" w:rsidRPr="6766CE18">
        <w:t>as</w:t>
      </w:r>
      <w:r w:rsidRPr="00620176">
        <w:t xml:space="preserve"> large not-for-profit</w:t>
      </w:r>
    </w:p>
    <w:p w14:paraId="74057404" w14:textId="7B00609C" w:rsidR="00B021DF" w:rsidRPr="00620176" w:rsidRDefault="00B021DF" w:rsidP="0023170C">
      <w:pPr>
        <w:pStyle w:val="Quote"/>
      </w:pPr>
      <w:r w:rsidRPr="31ABE43A">
        <w:t>“Engaging with staff to meet the requirements of clients continues to be a challenge as staff want to work more flexibly, which doesn't always suit the needs of our clients.”</w:t>
      </w:r>
    </w:p>
    <w:p w14:paraId="25B62AC2" w14:textId="77777777" w:rsidR="004316F3" w:rsidRDefault="00B021DF" w:rsidP="0023170C">
      <w:pPr>
        <w:pStyle w:val="QuoteAuthor"/>
      </w:pPr>
      <w:r w:rsidRPr="6766CE18">
        <w:t>V</w:t>
      </w:r>
      <w:r w:rsidR="00A05892" w:rsidRPr="6766CE18">
        <w:t>ic</w:t>
      </w:r>
      <w:r w:rsidRPr="00620176">
        <w:t xml:space="preserve"> medium not-for-profit</w:t>
      </w:r>
    </w:p>
    <w:p w14:paraId="630D9B4B" w14:textId="55C29AB6" w:rsidR="004316F3" w:rsidRDefault="00B021DF" w:rsidP="0097062A">
      <w:r w:rsidRPr="00620176">
        <w:t>Respondents often reported ongoing pandemic related financial impacts:</w:t>
      </w:r>
    </w:p>
    <w:p w14:paraId="04E2417C" w14:textId="6803562B" w:rsidR="00B021DF" w:rsidRPr="00620176" w:rsidRDefault="00B021DF" w:rsidP="0023170C">
      <w:pPr>
        <w:pStyle w:val="Quote"/>
      </w:pPr>
      <w:r w:rsidRPr="07E01E6C">
        <w:t>“Providers are still recovering from the costs of the pandemic.”</w:t>
      </w:r>
    </w:p>
    <w:p w14:paraId="20E0710D" w14:textId="77777777" w:rsidR="004316F3" w:rsidRDefault="00B021DF" w:rsidP="0023170C">
      <w:pPr>
        <w:pStyle w:val="QuoteAuthor"/>
      </w:pPr>
      <w:r w:rsidRPr="6766CE18">
        <w:t>V</w:t>
      </w:r>
      <w:r w:rsidR="00A05892" w:rsidRPr="6766CE18">
        <w:t>ic</w:t>
      </w:r>
      <w:r w:rsidRPr="00620176">
        <w:t xml:space="preserve"> small not-for-profit</w:t>
      </w:r>
    </w:p>
    <w:p w14:paraId="71D0462C" w14:textId="58932ADE" w:rsidR="00B021DF" w:rsidRPr="00620176" w:rsidRDefault="00B021DF" w:rsidP="0023170C">
      <w:pPr>
        <w:pStyle w:val="Quote"/>
      </w:pPr>
      <w:r w:rsidRPr="07E01E6C">
        <w:t xml:space="preserve">“Macro-economic factors, cost of living, insurances </w:t>
      </w:r>
      <w:r w:rsidRPr="7DF75005">
        <w:t>and so on</w:t>
      </w:r>
      <w:r w:rsidRPr="07E01E6C">
        <w:t xml:space="preserve"> are higher than ever and will remain that way for some time.”</w:t>
      </w:r>
    </w:p>
    <w:p w14:paraId="6E4901DA" w14:textId="77777777" w:rsidR="004316F3" w:rsidRDefault="00B021DF" w:rsidP="0023170C">
      <w:pPr>
        <w:pStyle w:val="QuoteAuthor"/>
      </w:pPr>
      <w:r w:rsidRPr="00620176">
        <w:t>NSW large not-for-profit</w:t>
      </w:r>
    </w:p>
    <w:p w14:paraId="7D4F4C5E" w14:textId="77777777" w:rsidR="004316F3" w:rsidRDefault="00B021DF" w:rsidP="0097062A">
      <w:r w:rsidRPr="00620176">
        <w:lastRenderedPageBreak/>
        <w:t>Still, many respondents reported on the impacts of the pandemic to be over and back to business as usual:</w:t>
      </w:r>
    </w:p>
    <w:p w14:paraId="5675F2A1" w14:textId="01D902DB" w:rsidR="00B021DF" w:rsidRPr="00620176" w:rsidRDefault="00B021DF" w:rsidP="0023170C">
      <w:pPr>
        <w:pStyle w:val="Quote"/>
      </w:pPr>
      <w:r w:rsidRPr="07E01E6C">
        <w:t>“It’s over</w:t>
      </w:r>
      <w:r w:rsidR="004038E1">
        <w:t>,</w:t>
      </w:r>
      <w:r w:rsidRPr="07E01E6C">
        <w:t xml:space="preserve"> back to pre-pandemic stage.”</w:t>
      </w:r>
    </w:p>
    <w:p w14:paraId="1C43678F" w14:textId="77777777" w:rsidR="004316F3" w:rsidRDefault="00B021DF" w:rsidP="0023170C">
      <w:pPr>
        <w:pStyle w:val="QuoteAuthor"/>
      </w:pPr>
      <w:r w:rsidRPr="00620176">
        <w:t>WA very small sole trader</w:t>
      </w:r>
    </w:p>
    <w:p w14:paraId="55D195A4" w14:textId="6631B6EC" w:rsidR="00B021DF" w:rsidRPr="00620176" w:rsidRDefault="00B021DF" w:rsidP="0023170C">
      <w:pPr>
        <w:pStyle w:val="Quote"/>
      </w:pPr>
      <w:r w:rsidRPr="12D4AC98">
        <w:t>“The pandemic is well and truly behind us now. Move on.”</w:t>
      </w:r>
    </w:p>
    <w:p w14:paraId="7C720A7F" w14:textId="77777777" w:rsidR="004316F3" w:rsidRDefault="00B021DF" w:rsidP="0023170C">
      <w:pPr>
        <w:pStyle w:val="QuoteAuthor"/>
      </w:pPr>
      <w:r w:rsidRPr="6766CE18">
        <w:t>V</w:t>
      </w:r>
      <w:r w:rsidR="00A05892" w:rsidRPr="6766CE18">
        <w:t>ic</w:t>
      </w:r>
      <w:r w:rsidRPr="00620176">
        <w:t xml:space="preserve"> very small for-profit</w:t>
      </w:r>
    </w:p>
    <w:p w14:paraId="4F7E64CD" w14:textId="1C0B66C3" w:rsidR="00B021DF" w:rsidRPr="00243A25" w:rsidRDefault="00B021DF" w:rsidP="0023170C">
      <w:pPr>
        <w:pStyle w:val="Quote"/>
      </w:pPr>
      <w:r w:rsidRPr="00243A25">
        <w:t>“For us, pretty much business as usual.”</w:t>
      </w:r>
    </w:p>
    <w:p w14:paraId="495B6935" w14:textId="3340740D" w:rsidR="00B021DF" w:rsidRDefault="00B021DF" w:rsidP="0023170C">
      <w:pPr>
        <w:pStyle w:val="QuoteAuthor"/>
      </w:pPr>
      <w:r w:rsidRPr="6AD0082D">
        <w:t>SA medium not-for-profit</w:t>
      </w:r>
    </w:p>
    <w:p w14:paraId="475548DA" w14:textId="5165C434" w:rsidR="00306B2E" w:rsidRPr="00395520" w:rsidRDefault="00306B2E" w:rsidP="0097062A">
      <w:pPr>
        <w:pStyle w:val="Heading4"/>
      </w:pPr>
      <w:commentRangeStart w:id="35"/>
      <w:commentRangeStart w:id="36"/>
      <w:r w:rsidRPr="00395520">
        <w:t xml:space="preserve">Looking back – </w:t>
      </w:r>
      <w:r>
        <w:t>t</w:t>
      </w:r>
      <w:r w:rsidRPr="00395520">
        <w:t xml:space="preserve">he </w:t>
      </w:r>
      <w:r>
        <w:t>s</w:t>
      </w:r>
      <w:r w:rsidRPr="00395520">
        <w:t xml:space="preserve">tate of the </w:t>
      </w:r>
      <w:r>
        <w:t>w</w:t>
      </w:r>
      <w:r w:rsidRPr="00395520">
        <w:t xml:space="preserve">orkforce in the pandemic </w:t>
      </w:r>
      <w:commentRangeEnd w:id="35"/>
      <w:r>
        <w:rPr>
          <w:rStyle w:val="CommentReference"/>
          <w:rFonts w:eastAsia="Times New Roman" w:cstheme="minorBidi"/>
          <w:color w:val="auto"/>
        </w:rPr>
        <w:commentReference w:id="35"/>
      </w:r>
      <w:commentRangeEnd w:id="36"/>
      <w:r>
        <w:rPr>
          <w:rStyle w:val="CommentReference"/>
          <w:color w:val="auto"/>
        </w:rPr>
        <w:commentReference w:id="36"/>
      </w:r>
    </w:p>
    <w:p w14:paraId="2DD89DFA" w14:textId="77777777" w:rsidR="00306B2E" w:rsidRDefault="00306B2E" w:rsidP="0097062A">
      <w:r w:rsidRPr="00395520">
        <w:t>COVID-19 exacerbated already existing workforce shortages for providers. Our State of the Sector reports from 2020 and 2021 paint a picture of significant disruption and an operating environment in which providers were managing outbreaks in their services and significant numbers of workers needing to quarantine or isolate as close and casual contacts. Sourcing surge workforce became an even greater challenge and COVID-19 Preparedness Plans were put to the test.</w:t>
      </w:r>
    </w:p>
    <w:p w14:paraId="6A313DEF" w14:textId="77777777" w:rsidR="00306B2E" w:rsidRDefault="00306B2E" w:rsidP="0097062A">
      <w:r w:rsidRPr="00395520">
        <w:t>This year’s survey indicates that the impact of COVID-19 on operations is still being experienced by some.</w:t>
      </w:r>
    </w:p>
    <w:p w14:paraId="5B26C7F8" w14:textId="20AD724D" w:rsidR="00306B2E" w:rsidRPr="00306B2E" w:rsidRDefault="00306B2E" w:rsidP="0097062A">
      <w:pPr>
        <w:rPr>
          <w:rFonts w:ascii="Aptos Display" w:eastAsia="Aptos Display" w:hAnsi="Aptos Display" w:cs="Aptos Display"/>
          <w:lang w:val="en-GB"/>
        </w:rPr>
      </w:pPr>
      <w:r w:rsidRPr="00395520">
        <w:t>But out of adversity grows greater resilience and the sector proved this by continuing to provide essential services, collaborating to fill workforce gaps and adapting to new ways of operating.</w:t>
      </w:r>
    </w:p>
    <w:p w14:paraId="52DFE72D" w14:textId="367FAD44" w:rsidR="00B021DF" w:rsidRPr="00620176" w:rsidRDefault="00B021DF" w:rsidP="0097062A">
      <w:pPr>
        <w:pStyle w:val="Heading3"/>
      </w:pPr>
      <w:r>
        <w:t>NDIS services</w:t>
      </w:r>
    </w:p>
    <w:p w14:paraId="6188848C" w14:textId="77777777" w:rsidR="004316F3" w:rsidRDefault="00B021DF" w:rsidP="0097062A">
      <w:r>
        <w:t>The most common NDIS services provided by respondents included Participation in Community, Social and Civic Activities (63 per cent), Daily Personal Activities (5</w:t>
      </w:r>
      <w:r w:rsidR="004038E1">
        <w:t>8</w:t>
      </w:r>
      <w:r>
        <w:t xml:space="preserve"> per cent), Development of Daily Living and Life Skills (5</w:t>
      </w:r>
      <w:r w:rsidR="004038E1">
        <w:t>3</w:t>
      </w:r>
      <w:r>
        <w:t xml:space="preserve"> per cent), and Support Coordination (5</w:t>
      </w:r>
      <w:r w:rsidR="004038E1">
        <w:t>1</w:t>
      </w:r>
      <w:r>
        <w:t xml:space="preserve"> per cent).</w:t>
      </w:r>
    </w:p>
    <w:p w14:paraId="5A10D8B5" w14:textId="6614E90A" w:rsidR="004316F3" w:rsidRDefault="00B021DF" w:rsidP="0097062A">
      <w:r>
        <w:t xml:space="preserve">When asked about changes in hours of service delivery, we saw net increases in the provision of services related to Participation in Community, Social and Civic Activities (46 per cent of organisations reported an increase in service provision, while only 23 </w:t>
      </w:r>
      <w:r>
        <w:lastRenderedPageBreak/>
        <w:t xml:space="preserve">percent reported a decrease, a net change of 23 per cent of organisations), Assistance with Daily Life Tasks in a Group or Shared Living Arrangement (net change of 20 per cent of organisations), Group </w:t>
      </w:r>
      <w:r w:rsidR="008A391F">
        <w:t>a</w:t>
      </w:r>
      <w:r>
        <w:t xml:space="preserve">nd Centre Based Activities (net change of 19 per cent of organisations), Development of Daily Living </w:t>
      </w:r>
      <w:r w:rsidR="001A032A">
        <w:t>a</w:t>
      </w:r>
      <w:r>
        <w:t>nd Life Skills (net change of 18 per cent of organisations), Daily Personal Activities (net change of 18 per cent of organisations), Support Coordination (net change of 16 per cent of organisations), and Assistance with Travel</w:t>
      </w:r>
      <w:r w:rsidR="001A032A">
        <w:t xml:space="preserve"> and </w:t>
      </w:r>
      <w:r>
        <w:t>Transport Arrangements (net change of 15 per cent of organisations)</w:t>
      </w:r>
      <w:r w:rsidR="00031852" w:rsidRPr="007B3F2D">
        <w:t xml:space="preserve"> </w:t>
      </w:r>
      <w:r w:rsidR="00031852">
        <w:t xml:space="preserve">(see </w:t>
      </w:r>
      <w:r w:rsidR="00031852">
        <w:fldChar w:fldCharType="begin"/>
      </w:r>
      <w:r w:rsidR="00031852">
        <w:instrText xml:space="preserve"> REF _Ref183700184 \h </w:instrText>
      </w:r>
      <w:r w:rsidR="00031852">
        <w:fldChar w:fldCharType="separate"/>
      </w:r>
      <w:r w:rsidR="009D342F">
        <w:t>Table </w:t>
      </w:r>
      <w:r w:rsidR="00031852">
        <w:rPr>
          <w:noProof/>
        </w:rPr>
        <w:t>11</w:t>
      </w:r>
      <w:r w:rsidR="00031852">
        <w:fldChar w:fldCharType="end"/>
      </w:r>
      <w:r w:rsidR="00031852">
        <w:t>)</w:t>
      </w:r>
      <w:r>
        <w:t>.</w:t>
      </w:r>
    </w:p>
    <w:p w14:paraId="13F83C02" w14:textId="6F8BAD33" w:rsidR="004316F3" w:rsidRDefault="009D342F" w:rsidP="005366DB">
      <w:pPr>
        <w:pStyle w:val="Caption"/>
      </w:pPr>
      <w:bookmarkStart w:id="37" w:name="_Ref183700184"/>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11</w:t>
      </w:r>
      <w:r w:rsidR="0007250B" w:rsidRPr="001A77F7">
        <w:rPr>
          <w:b/>
          <w:bCs/>
          <w:noProof/>
        </w:rPr>
        <w:fldChar w:fldCharType="end"/>
      </w:r>
      <w:bookmarkEnd w:id="37"/>
      <w:r w:rsidR="00B50CFF" w:rsidRPr="00412511">
        <w:t xml:space="preserve"> </w:t>
      </w:r>
      <w:r w:rsidR="00B50CFF" w:rsidRPr="009F202C">
        <w:t>Changing hours of service provision (100 providers or more)</w:t>
      </w:r>
    </w:p>
    <w:tbl>
      <w:tblPr>
        <w:tblW w:w="9351" w:type="dxa"/>
        <w:tblLook w:val="04A0" w:firstRow="1" w:lastRow="0" w:firstColumn="1" w:lastColumn="0" w:noHBand="0" w:noVBand="1"/>
        <w:tblCaption w:val="Table 11 Changing hours of service provision (100 providers or more)"/>
        <w:tblDescription w:val="A table showing the changing hours of service provision for 100 providers or more."/>
      </w:tblPr>
      <w:tblGrid>
        <w:gridCol w:w="4531"/>
        <w:gridCol w:w="1701"/>
        <w:gridCol w:w="1418"/>
        <w:gridCol w:w="1701"/>
      </w:tblGrid>
      <w:tr w:rsidR="004E4798" w:rsidRPr="00694141" w14:paraId="2E2F62EC" w14:textId="77777777" w:rsidTr="005F60E3">
        <w:trPr>
          <w:trHeight w:val="920"/>
          <w:tblHeader/>
        </w:trPr>
        <w:tc>
          <w:tcPr>
            <w:tcW w:w="4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70355" w14:textId="77777777" w:rsidR="004E4798" w:rsidRPr="00694141" w:rsidRDefault="004E4798" w:rsidP="00694141">
            <w:pPr>
              <w:rPr>
                <w:b/>
                <w:bCs/>
                <w:lang w:eastAsia="en-AU"/>
              </w:rPr>
            </w:pPr>
            <w:bookmarkStart w:id="38" w:name="Title_Table_11"/>
            <w:bookmarkEnd w:id="38"/>
            <w:r w:rsidRPr="00694141">
              <w:rPr>
                <w:b/>
                <w:bCs/>
                <w:lang w:eastAsia="en-AU"/>
              </w:rPr>
              <w:t>Registration group</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7C7B4AF" w14:textId="77777777" w:rsidR="004E4798" w:rsidRPr="00694141" w:rsidRDefault="004E4798" w:rsidP="00694141">
            <w:pPr>
              <w:rPr>
                <w:b/>
                <w:bCs/>
                <w:lang w:eastAsia="en-AU"/>
              </w:rPr>
            </w:pPr>
            <w:r w:rsidRPr="00694141">
              <w:rPr>
                <w:b/>
                <w:bCs/>
                <w:lang w:eastAsia="en-AU"/>
              </w:rPr>
              <w:t>We provided less</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36B917D" w14:textId="77777777" w:rsidR="004E4798" w:rsidRPr="00694141" w:rsidRDefault="004E4798" w:rsidP="00694141">
            <w:pPr>
              <w:rPr>
                <w:b/>
                <w:bCs/>
                <w:lang w:eastAsia="en-AU"/>
              </w:rPr>
            </w:pPr>
            <w:r w:rsidRPr="00694141">
              <w:rPr>
                <w:b/>
                <w:bCs/>
                <w:lang w:eastAsia="en-AU"/>
              </w:rPr>
              <w:t>No change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10B94241" w14:textId="3E35DA7B" w:rsidR="004E4798" w:rsidRPr="00694141" w:rsidRDefault="004E4798" w:rsidP="00694141">
            <w:pPr>
              <w:rPr>
                <w:b/>
                <w:bCs/>
                <w:lang w:eastAsia="en-AU"/>
              </w:rPr>
            </w:pPr>
            <w:r w:rsidRPr="00694141">
              <w:rPr>
                <w:b/>
                <w:bCs/>
                <w:lang w:eastAsia="en-AU"/>
              </w:rPr>
              <w:t>We provided more</w:t>
            </w:r>
          </w:p>
        </w:tc>
      </w:tr>
      <w:tr w:rsidR="004E4798" w:rsidRPr="00A9546F" w14:paraId="3EFE8EE2" w14:textId="77777777" w:rsidTr="005F60E3">
        <w:trPr>
          <w:trHeight w:val="6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AF2D11F" w14:textId="77777777" w:rsidR="004E4798" w:rsidRPr="00A9546F" w:rsidRDefault="004E4798" w:rsidP="005F60E3">
            <w:pPr>
              <w:rPr>
                <w:lang w:eastAsia="en-AU"/>
              </w:rPr>
            </w:pPr>
            <w:r w:rsidRPr="00A9546F">
              <w:rPr>
                <w:lang w:eastAsia="en-AU"/>
              </w:rPr>
              <w:t>Participation in community, social and civic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004D86DB" w14:textId="77777777" w:rsidR="004E4798" w:rsidRPr="00A9546F" w:rsidRDefault="004E4798" w:rsidP="005F60E3">
            <w:pPr>
              <w:rPr>
                <w:lang w:eastAsia="en-AU"/>
              </w:rPr>
            </w:pPr>
            <w:r w:rsidRPr="00A9546F">
              <w:rPr>
                <w:lang w:eastAsia="en-AU"/>
              </w:rPr>
              <w:t>23 per cent</w:t>
            </w:r>
          </w:p>
        </w:tc>
        <w:tc>
          <w:tcPr>
            <w:tcW w:w="1418" w:type="dxa"/>
            <w:tcBorders>
              <w:top w:val="nil"/>
              <w:left w:val="nil"/>
              <w:bottom w:val="single" w:sz="4" w:space="0" w:color="auto"/>
              <w:right w:val="single" w:sz="4" w:space="0" w:color="auto"/>
            </w:tcBorders>
            <w:shd w:val="clear" w:color="auto" w:fill="auto"/>
            <w:noWrap/>
            <w:vAlign w:val="center"/>
            <w:hideMark/>
          </w:tcPr>
          <w:p w14:paraId="393B24F3" w14:textId="77777777" w:rsidR="004E4798" w:rsidRPr="00A9546F" w:rsidRDefault="004E4798" w:rsidP="005F60E3">
            <w:pPr>
              <w:rPr>
                <w:lang w:eastAsia="en-AU"/>
              </w:rPr>
            </w:pPr>
            <w:r w:rsidRPr="00A9546F">
              <w:rPr>
                <w:lang w:eastAsia="en-AU"/>
              </w:rPr>
              <w:t>27 per cent</w:t>
            </w:r>
          </w:p>
        </w:tc>
        <w:tc>
          <w:tcPr>
            <w:tcW w:w="1701" w:type="dxa"/>
            <w:tcBorders>
              <w:top w:val="nil"/>
              <w:left w:val="nil"/>
              <w:bottom w:val="single" w:sz="4" w:space="0" w:color="auto"/>
              <w:right w:val="single" w:sz="4" w:space="0" w:color="auto"/>
            </w:tcBorders>
            <w:shd w:val="clear" w:color="auto" w:fill="auto"/>
            <w:noWrap/>
            <w:vAlign w:val="center"/>
            <w:hideMark/>
          </w:tcPr>
          <w:p w14:paraId="2D054A42" w14:textId="77777777" w:rsidR="004E4798" w:rsidRPr="00A9546F" w:rsidRDefault="004E4798" w:rsidP="005F60E3">
            <w:pPr>
              <w:rPr>
                <w:lang w:eastAsia="en-AU"/>
              </w:rPr>
            </w:pPr>
            <w:r w:rsidRPr="00A9546F">
              <w:rPr>
                <w:lang w:eastAsia="en-AU"/>
              </w:rPr>
              <w:t>46 per cent</w:t>
            </w:r>
          </w:p>
        </w:tc>
      </w:tr>
      <w:tr w:rsidR="004E4798" w:rsidRPr="00A9546F" w14:paraId="733A54A2"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6BC43D3" w14:textId="77777777" w:rsidR="004E4798" w:rsidRPr="00A9546F" w:rsidRDefault="004E4798" w:rsidP="005F60E3">
            <w:pPr>
              <w:rPr>
                <w:lang w:eastAsia="en-AU"/>
              </w:rPr>
            </w:pPr>
            <w:r w:rsidRPr="00A9546F">
              <w:rPr>
                <w:lang w:eastAsia="en-AU"/>
              </w:rPr>
              <w:t>Daily personal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3F82D9AF" w14:textId="77777777" w:rsidR="004E4798" w:rsidRPr="00A9546F" w:rsidRDefault="004E4798" w:rsidP="005F60E3">
            <w:pPr>
              <w:rPr>
                <w:lang w:eastAsia="en-AU"/>
              </w:rPr>
            </w:pPr>
            <w:r w:rsidRPr="00A9546F">
              <w:rPr>
                <w:lang w:eastAsia="en-AU"/>
              </w:rPr>
              <w:t>24 per cent</w:t>
            </w:r>
          </w:p>
        </w:tc>
        <w:tc>
          <w:tcPr>
            <w:tcW w:w="1418" w:type="dxa"/>
            <w:tcBorders>
              <w:top w:val="nil"/>
              <w:left w:val="nil"/>
              <w:bottom w:val="single" w:sz="4" w:space="0" w:color="auto"/>
              <w:right w:val="single" w:sz="4" w:space="0" w:color="auto"/>
            </w:tcBorders>
            <w:shd w:val="clear" w:color="auto" w:fill="auto"/>
            <w:noWrap/>
            <w:vAlign w:val="center"/>
            <w:hideMark/>
          </w:tcPr>
          <w:p w14:paraId="19E5D4DC" w14:textId="77777777" w:rsidR="004E4798" w:rsidRPr="00A9546F" w:rsidRDefault="004E4798" w:rsidP="005F60E3">
            <w:pPr>
              <w:rPr>
                <w:lang w:eastAsia="en-AU"/>
              </w:rPr>
            </w:pPr>
            <w:r w:rsidRPr="00A9546F">
              <w:rPr>
                <w:lang w:eastAsia="en-AU"/>
              </w:rPr>
              <w:t>30 per cent</w:t>
            </w:r>
          </w:p>
        </w:tc>
        <w:tc>
          <w:tcPr>
            <w:tcW w:w="1701" w:type="dxa"/>
            <w:tcBorders>
              <w:top w:val="nil"/>
              <w:left w:val="nil"/>
              <w:bottom w:val="single" w:sz="4" w:space="0" w:color="auto"/>
              <w:right w:val="single" w:sz="4" w:space="0" w:color="auto"/>
            </w:tcBorders>
            <w:shd w:val="clear" w:color="auto" w:fill="auto"/>
            <w:noWrap/>
            <w:vAlign w:val="center"/>
            <w:hideMark/>
          </w:tcPr>
          <w:p w14:paraId="2123BDF0" w14:textId="77777777" w:rsidR="004E4798" w:rsidRPr="00A9546F" w:rsidRDefault="004E4798" w:rsidP="005F60E3">
            <w:pPr>
              <w:rPr>
                <w:lang w:eastAsia="en-AU"/>
              </w:rPr>
            </w:pPr>
            <w:r w:rsidRPr="00A9546F">
              <w:rPr>
                <w:lang w:eastAsia="en-AU"/>
              </w:rPr>
              <w:t>42 per cent</w:t>
            </w:r>
          </w:p>
        </w:tc>
      </w:tr>
      <w:tr w:rsidR="004E4798" w:rsidRPr="00A9546F" w14:paraId="17D5F760"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FCDD0C0" w14:textId="77777777" w:rsidR="004E4798" w:rsidRPr="00A9546F" w:rsidRDefault="004E4798" w:rsidP="005F60E3">
            <w:pPr>
              <w:rPr>
                <w:lang w:eastAsia="en-AU"/>
              </w:rPr>
            </w:pPr>
            <w:r w:rsidRPr="00A9546F">
              <w:rPr>
                <w:lang w:eastAsia="en-AU"/>
              </w:rPr>
              <w:t xml:space="preserve">Development of daily living and life skills </w:t>
            </w:r>
          </w:p>
        </w:tc>
        <w:tc>
          <w:tcPr>
            <w:tcW w:w="1701" w:type="dxa"/>
            <w:tcBorders>
              <w:top w:val="nil"/>
              <w:left w:val="nil"/>
              <w:bottom w:val="single" w:sz="4" w:space="0" w:color="auto"/>
              <w:right w:val="single" w:sz="4" w:space="0" w:color="auto"/>
            </w:tcBorders>
            <w:shd w:val="clear" w:color="auto" w:fill="auto"/>
            <w:noWrap/>
            <w:vAlign w:val="center"/>
            <w:hideMark/>
          </w:tcPr>
          <w:p w14:paraId="35CE2001" w14:textId="77777777" w:rsidR="004E4798" w:rsidRPr="00A9546F" w:rsidRDefault="004E4798" w:rsidP="005F60E3">
            <w:pPr>
              <w:rPr>
                <w:lang w:eastAsia="en-AU"/>
              </w:rPr>
            </w:pPr>
            <w:r w:rsidRPr="00A9546F">
              <w:rPr>
                <w:lang w:eastAsia="en-AU"/>
              </w:rPr>
              <w:t>20 per cent</w:t>
            </w:r>
          </w:p>
        </w:tc>
        <w:tc>
          <w:tcPr>
            <w:tcW w:w="1418" w:type="dxa"/>
            <w:tcBorders>
              <w:top w:val="nil"/>
              <w:left w:val="nil"/>
              <w:bottom w:val="single" w:sz="4" w:space="0" w:color="auto"/>
              <w:right w:val="single" w:sz="4" w:space="0" w:color="auto"/>
            </w:tcBorders>
            <w:shd w:val="clear" w:color="auto" w:fill="auto"/>
            <w:noWrap/>
            <w:vAlign w:val="center"/>
            <w:hideMark/>
          </w:tcPr>
          <w:p w14:paraId="3FAEA06D" w14:textId="77777777" w:rsidR="004E4798" w:rsidRPr="00A9546F" w:rsidRDefault="004E4798" w:rsidP="005F60E3">
            <w:pPr>
              <w:rPr>
                <w:lang w:eastAsia="en-AU"/>
              </w:rPr>
            </w:pPr>
            <w:r w:rsidRPr="00A9546F">
              <w:rPr>
                <w:lang w:eastAsia="en-AU"/>
              </w:rPr>
              <w:t>36 per cent</w:t>
            </w:r>
          </w:p>
        </w:tc>
        <w:tc>
          <w:tcPr>
            <w:tcW w:w="1701" w:type="dxa"/>
            <w:tcBorders>
              <w:top w:val="nil"/>
              <w:left w:val="nil"/>
              <w:bottom w:val="single" w:sz="4" w:space="0" w:color="auto"/>
              <w:right w:val="single" w:sz="4" w:space="0" w:color="auto"/>
            </w:tcBorders>
            <w:shd w:val="clear" w:color="auto" w:fill="auto"/>
            <w:noWrap/>
            <w:vAlign w:val="center"/>
            <w:hideMark/>
          </w:tcPr>
          <w:p w14:paraId="294D5C2D" w14:textId="77777777" w:rsidR="004E4798" w:rsidRPr="00A9546F" w:rsidRDefault="004E4798" w:rsidP="005F60E3">
            <w:pPr>
              <w:rPr>
                <w:lang w:eastAsia="en-AU"/>
              </w:rPr>
            </w:pPr>
            <w:r w:rsidRPr="00A9546F">
              <w:rPr>
                <w:lang w:eastAsia="en-AU"/>
              </w:rPr>
              <w:t>38 per cent</w:t>
            </w:r>
          </w:p>
        </w:tc>
      </w:tr>
      <w:tr w:rsidR="004E4798" w:rsidRPr="00A9546F" w14:paraId="45E54450"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67FED3A" w14:textId="77777777" w:rsidR="004E4798" w:rsidRPr="00A9546F" w:rsidRDefault="004E4798" w:rsidP="005F60E3">
            <w:pPr>
              <w:rPr>
                <w:lang w:eastAsia="en-AU"/>
              </w:rPr>
            </w:pPr>
            <w:r w:rsidRPr="00A9546F">
              <w:rPr>
                <w:lang w:eastAsia="en-AU"/>
              </w:rPr>
              <w:t>Support coordination</w:t>
            </w:r>
          </w:p>
        </w:tc>
        <w:tc>
          <w:tcPr>
            <w:tcW w:w="1701" w:type="dxa"/>
            <w:tcBorders>
              <w:top w:val="nil"/>
              <w:left w:val="nil"/>
              <w:bottom w:val="single" w:sz="4" w:space="0" w:color="auto"/>
              <w:right w:val="single" w:sz="4" w:space="0" w:color="auto"/>
            </w:tcBorders>
            <w:shd w:val="clear" w:color="auto" w:fill="auto"/>
            <w:noWrap/>
            <w:vAlign w:val="center"/>
            <w:hideMark/>
          </w:tcPr>
          <w:p w14:paraId="74BC8B41" w14:textId="77777777" w:rsidR="004E4798" w:rsidRPr="00A9546F" w:rsidRDefault="004E4798" w:rsidP="005F60E3">
            <w:pPr>
              <w:rPr>
                <w:lang w:eastAsia="en-AU"/>
              </w:rPr>
            </w:pPr>
            <w:r w:rsidRPr="00A9546F">
              <w:rPr>
                <w:lang w:eastAsia="en-AU"/>
              </w:rPr>
              <w:t>28 per cent</w:t>
            </w:r>
          </w:p>
        </w:tc>
        <w:tc>
          <w:tcPr>
            <w:tcW w:w="1418" w:type="dxa"/>
            <w:tcBorders>
              <w:top w:val="nil"/>
              <w:left w:val="nil"/>
              <w:bottom w:val="single" w:sz="4" w:space="0" w:color="auto"/>
              <w:right w:val="single" w:sz="4" w:space="0" w:color="auto"/>
            </w:tcBorders>
            <w:shd w:val="clear" w:color="auto" w:fill="auto"/>
            <w:noWrap/>
            <w:vAlign w:val="center"/>
            <w:hideMark/>
          </w:tcPr>
          <w:p w14:paraId="00373DDE" w14:textId="77777777" w:rsidR="004E4798" w:rsidRPr="00A9546F" w:rsidRDefault="004E4798" w:rsidP="005F60E3">
            <w:pPr>
              <w:rPr>
                <w:lang w:eastAsia="en-AU"/>
              </w:rPr>
            </w:pPr>
            <w:r w:rsidRPr="00A9546F">
              <w:rPr>
                <w:lang w:eastAsia="en-AU"/>
              </w:rPr>
              <w:t>26 per cent</w:t>
            </w:r>
          </w:p>
        </w:tc>
        <w:tc>
          <w:tcPr>
            <w:tcW w:w="1701" w:type="dxa"/>
            <w:tcBorders>
              <w:top w:val="nil"/>
              <w:left w:val="nil"/>
              <w:bottom w:val="single" w:sz="4" w:space="0" w:color="auto"/>
              <w:right w:val="single" w:sz="4" w:space="0" w:color="auto"/>
            </w:tcBorders>
            <w:shd w:val="clear" w:color="auto" w:fill="auto"/>
            <w:noWrap/>
            <w:vAlign w:val="center"/>
            <w:hideMark/>
          </w:tcPr>
          <w:p w14:paraId="624D2DDC" w14:textId="77777777" w:rsidR="004E4798" w:rsidRPr="00A9546F" w:rsidRDefault="004E4798" w:rsidP="005F60E3">
            <w:pPr>
              <w:rPr>
                <w:lang w:eastAsia="en-AU"/>
              </w:rPr>
            </w:pPr>
            <w:r w:rsidRPr="00A9546F">
              <w:rPr>
                <w:lang w:eastAsia="en-AU"/>
              </w:rPr>
              <w:t>44 per cent</w:t>
            </w:r>
          </w:p>
        </w:tc>
      </w:tr>
      <w:tr w:rsidR="004E4798" w:rsidRPr="00A9546F" w14:paraId="5A4E6579" w14:textId="77777777" w:rsidTr="005F60E3">
        <w:trPr>
          <w:trHeight w:val="6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77A8ECD" w14:textId="77777777" w:rsidR="004E4798" w:rsidRPr="00A9546F" w:rsidRDefault="004E4798" w:rsidP="005F60E3">
            <w:pPr>
              <w:rPr>
                <w:lang w:eastAsia="en-AU"/>
              </w:rPr>
            </w:pPr>
            <w:r w:rsidRPr="00A9546F">
              <w:rPr>
                <w:lang w:eastAsia="en-AU"/>
              </w:rPr>
              <w:t>Assistance with daily life tasks in a group or shared living arrangement</w:t>
            </w:r>
          </w:p>
        </w:tc>
        <w:tc>
          <w:tcPr>
            <w:tcW w:w="1701" w:type="dxa"/>
            <w:tcBorders>
              <w:top w:val="nil"/>
              <w:left w:val="nil"/>
              <w:bottom w:val="single" w:sz="4" w:space="0" w:color="auto"/>
              <w:right w:val="single" w:sz="4" w:space="0" w:color="auto"/>
            </w:tcBorders>
            <w:shd w:val="clear" w:color="auto" w:fill="auto"/>
            <w:noWrap/>
            <w:vAlign w:val="center"/>
            <w:hideMark/>
          </w:tcPr>
          <w:p w14:paraId="03C50ADE" w14:textId="77777777" w:rsidR="004E4798" w:rsidRPr="00A9546F" w:rsidRDefault="004E4798" w:rsidP="005F60E3">
            <w:pPr>
              <w:rPr>
                <w:lang w:eastAsia="en-AU"/>
              </w:rPr>
            </w:pPr>
            <w:r w:rsidRPr="00A9546F">
              <w:rPr>
                <w:lang w:eastAsia="en-AU"/>
              </w:rPr>
              <w:t>23 per cent</w:t>
            </w:r>
          </w:p>
        </w:tc>
        <w:tc>
          <w:tcPr>
            <w:tcW w:w="1418" w:type="dxa"/>
            <w:tcBorders>
              <w:top w:val="nil"/>
              <w:left w:val="nil"/>
              <w:bottom w:val="single" w:sz="4" w:space="0" w:color="auto"/>
              <w:right w:val="single" w:sz="4" w:space="0" w:color="auto"/>
            </w:tcBorders>
            <w:shd w:val="clear" w:color="auto" w:fill="auto"/>
            <w:noWrap/>
            <w:vAlign w:val="center"/>
            <w:hideMark/>
          </w:tcPr>
          <w:p w14:paraId="393EA98F" w14:textId="77777777" w:rsidR="004E4798" w:rsidRPr="00A9546F" w:rsidRDefault="004E4798" w:rsidP="005F60E3">
            <w:pPr>
              <w:rPr>
                <w:lang w:eastAsia="en-AU"/>
              </w:rPr>
            </w:pPr>
            <w:r w:rsidRPr="00A9546F">
              <w:rPr>
                <w:lang w:eastAsia="en-AU"/>
              </w:rPr>
              <w:t>29 per cent</w:t>
            </w:r>
          </w:p>
        </w:tc>
        <w:tc>
          <w:tcPr>
            <w:tcW w:w="1701" w:type="dxa"/>
            <w:tcBorders>
              <w:top w:val="nil"/>
              <w:left w:val="nil"/>
              <w:bottom w:val="single" w:sz="4" w:space="0" w:color="auto"/>
              <w:right w:val="single" w:sz="4" w:space="0" w:color="auto"/>
            </w:tcBorders>
            <w:shd w:val="clear" w:color="auto" w:fill="auto"/>
            <w:noWrap/>
            <w:vAlign w:val="center"/>
            <w:hideMark/>
          </w:tcPr>
          <w:p w14:paraId="33FBB4A8" w14:textId="77777777" w:rsidR="004E4798" w:rsidRPr="00A9546F" w:rsidRDefault="004E4798" w:rsidP="005F60E3">
            <w:pPr>
              <w:rPr>
                <w:lang w:eastAsia="en-AU"/>
              </w:rPr>
            </w:pPr>
            <w:r w:rsidRPr="00A9546F">
              <w:rPr>
                <w:lang w:eastAsia="en-AU"/>
              </w:rPr>
              <w:t>43 per cent</w:t>
            </w:r>
          </w:p>
        </w:tc>
      </w:tr>
      <w:tr w:rsidR="004E4798" w:rsidRPr="00A9546F" w14:paraId="743FD843"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C97C800" w14:textId="77777777" w:rsidR="004E4798" w:rsidRPr="00A9546F" w:rsidRDefault="004E4798" w:rsidP="005F60E3">
            <w:pPr>
              <w:rPr>
                <w:lang w:eastAsia="en-AU"/>
              </w:rPr>
            </w:pPr>
            <w:r w:rsidRPr="00A9546F">
              <w:rPr>
                <w:lang w:eastAsia="en-AU"/>
              </w:rPr>
              <w:t xml:space="preserve">Group and </w:t>
            </w:r>
            <w:proofErr w:type="gramStart"/>
            <w:r w:rsidRPr="00A9546F">
              <w:rPr>
                <w:lang w:eastAsia="en-AU"/>
              </w:rPr>
              <w:t>centre based</w:t>
            </w:r>
            <w:proofErr w:type="gramEnd"/>
            <w:r w:rsidRPr="00A9546F">
              <w:rPr>
                <w:lang w:eastAsia="en-AU"/>
              </w:rPr>
              <w:t xml:space="preserve">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35E050D6" w14:textId="77777777" w:rsidR="004E4798" w:rsidRPr="00A9546F" w:rsidRDefault="004E4798" w:rsidP="005F60E3">
            <w:pPr>
              <w:rPr>
                <w:lang w:eastAsia="en-AU"/>
              </w:rPr>
            </w:pPr>
            <w:r w:rsidRPr="00A9546F">
              <w:rPr>
                <w:lang w:eastAsia="en-AU"/>
              </w:rPr>
              <w:t>21 per cent</w:t>
            </w:r>
          </w:p>
        </w:tc>
        <w:tc>
          <w:tcPr>
            <w:tcW w:w="1418" w:type="dxa"/>
            <w:tcBorders>
              <w:top w:val="nil"/>
              <w:left w:val="nil"/>
              <w:bottom w:val="single" w:sz="4" w:space="0" w:color="auto"/>
              <w:right w:val="single" w:sz="4" w:space="0" w:color="auto"/>
            </w:tcBorders>
            <w:shd w:val="clear" w:color="auto" w:fill="auto"/>
            <w:noWrap/>
            <w:vAlign w:val="center"/>
            <w:hideMark/>
          </w:tcPr>
          <w:p w14:paraId="7989FB5A" w14:textId="77777777" w:rsidR="004E4798" w:rsidRPr="00A9546F" w:rsidRDefault="004E4798" w:rsidP="005F60E3">
            <w:pPr>
              <w:rPr>
                <w:lang w:eastAsia="en-AU"/>
              </w:rPr>
            </w:pPr>
            <w:r w:rsidRPr="00A9546F">
              <w:rPr>
                <w:lang w:eastAsia="en-AU"/>
              </w:rPr>
              <w:t>35 per cent</w:t>
            </w:r>
          </w:p>
        </w:tc>
        <w:tc>
          <w:tcPr>
            <w:tcW w:w="1701" w:type="dxa"/>
            <w:tcBorders>
              <w:top w:val="nil"/>
              <w:left w:val="nil"/>
              <w:bottom w:val="single" w:sz="4" w:space="0" w:color="auto"/>
              <w:right w:val="single" w:sz="4" w:space="0" w:color="auto"/>
            </w:tcBorders>
            <w:shd w:val="clear" w:color="auto" w:fill="auto"/>
            <w:noWrap/>
            <w:vAlign w:val="center"/>
            <w:hideMark/>
          </w:tcPr>
          <w:p w14:paraId="3D7CB530" w14:textId="77777777" w:rsidR="004E4798" w:rsidRPr="00A9546F" w:rsidRDefault="004E4798" w:rsidP="005F60E3">
            <w:pPr>
              <w:rPr>
                <w:lang w:eastAsia="en-AU"/>
              </w:rPr>
            </w:pPr>
            <w:r w:rsidRPr="00A9546F">
              <w:rPr>
                <w:lang w:eastAsia="en-AU"/>
              </w:rPr>
              <w:t>40 per cent</w:t>
            </w:r>
          </w:p>
        </w:tc>
      </w:tr>
      <w:tr w:rsidR="004E4798" w:rsidRPr="00A9546F" w14:paraId="7C3A67E9"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0587CC6" w14:textId="77777777" w:rsidR="004E4798" w:rsidRPr="00A9546F" w:rsidRDefault="004E4798" w:rsidP="005F60E3">
            <w:pPr>
              <w:rPr>
                <w:lang w:eastAsia="en-AU"/>
              </w:rPr>
            </w:pPr>
            <w:r w:rsidRPr="00A9546F">
              <w:rPr>
                <w:lang w:eastAsia="en-AU"/>
              </w:rPr>
              <w:t>Assistance with travel/transport arrangements</w:t>
            </w:r>
          </w:p>
        </w:tc>
        <w:tc>
          <w:tcPr>
            <w:tcW w:w="1701" w:type="dxa"/>
            <w:tcBorders>
              <w:top w:val="nil"/>
              <w:left w:val="nil"/>
              <w:bottom w:val="single" w:sz="4" w:space="0" w:color="auto"/>
              <w:right w:val="single" w:sz="4" w:space="0" w:color="auto"/>
            </w:tcBorders>
            <w:shd w:val="clear" w:color="auto" w:fill="auto"/>
            <w:noWrap/>
            <w:vAlign w:val="center"/>
            <w:hideMark/>
          </w:tcPr>
          <w:p w14:paraId="6DB78A46" w14:textId="77777777" w:rsidR="004E4798" w:rsidRPr="00A9546F" w:rsidRDefault="004E4798" w:rsidP="005F60E3">
            <w:pPr>
              <w:rPr>
                <w:lang w:eastAsia="en-AU"/>
              </w:rPr>
            </w:pPr>
            <w:r w:rsidRPr="00A9546F">
              <w:rPr>
                <w:lang w:eastAsia="en-AU"/>
              </w:rPr>
              <w:t>21 per cent</w:t>
            </w:r>
          </w:p>
        </w:tc>
        <w:tc>
          <w:tcPr>
            <w:tcW w:w="1418" w:type="dxa"/>
            <w:tcBorders>
              <w:top w:val="nil"/>
              <w:left w:val="nil"/>
              <w:bottom w:val="single" w:sz="4" w:space="0" w:color="auto"/>
              <w:right w:val="single" w:sz="4" w:space="0" w:color="auto"/>
            </w:tcBorders>
            <w:shd w:val="clear" w:color="auto" w:fill="auto"/>
            <w:noWrap/>
            <w:vAlign w:val="center"/>
            <w:hideMark/>
          </w:tcPr>
          <w:p w14:paraId="3540912C" w14:textId="77777777" w:rsidR="004E4798" w:rsidRPr="00A9546F" w:rsidRDefault="004E4798" w:rsidP="005F60E3">
            <w:pPr>
              <w:rPr>
                <w:lang w:eastAsia="en-AU"/>
              </w:rPr>
            </w:pPr>
            <w:r w:rsidRPr="00A9546F">
              <w:rPr>
                <w:lang w:eastAsia="en-AU"/>
              </w:rPr>
              <w:t>36 per cent</w:t>
            </w:r>
          </w:p>
        </w:tc>
        <w:tc>
          <w:tcPr>
            <w:tcW w:w="1701" w:type="dxa"/>
            <w:tcBorders>
              <w:top w:val="nil"/>
              <w:left w:val="nil"/>
              <w:bottom w:val="single" w:sz="4" w:space="0" w:color="auto"/>
              <w:right w:val="single" w:sz="4" w:space="0" w:color="auto"/>
            </w:tcBorders>
            <w:shd w:val="clear" w:color="auto" w:fill="auto"/>
            <w:noWrap/>
            <w:vAlign w:val="center"/>
            <w:hideMark/>
          </w:tcPr>
          <w:p w14:paraId="090E14A3" w14:textId="77777777" w:rsidR="004E4798" w:rsidRPr="00A9546F" w:rsidRDefault="004E4798" w:rsidP="005F60E3">
            <w:pPr>
              <w:rPr>
                <w:lang w:eastAsia="en-AU"/>
              </w:rPr>
            </w:pPr>
            <w:r w:rsidRPr="00A9546F">
              <w:rPr>
                <w:lang w:eastAsia="en-AU"/>
              </w:rPr>
              <w:t>36 per cent</w:t>
            </w:r>
          </w:p>
        </w:tc>
      </w:tr>
      <w:tr w:rsidR="004E4798" w:rsidRPr="00A9546F" w14:paraId="4F24B60C"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7B14669" w14:textId="77777777" w:rsidR="004E4798" w:rsidRPr="00A9546F" w:rsidRDefault="004E4798" w:rsidP="005F60E3">
            <w:pPr>
              <w:rPr>
                <w:lang w:eastAsia="en-AU"/>
              </w:rPr>
            </w:pPr>
            <w:r w:rsidRPr="00A9546F">
              <w:rPr>
                <w:lang w:eastAsia="en-AU"/>
              </w:rPr>
              <w:t>High intensity daily personal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16E71239" w14:textId="77777777" w:rsidR="004E4798" w:rsidRPr="00A9546F" w:rsidRDefault="004E4798" w:rsidP="005F60E3">
            <w:pPr>
              <w:rPr>
                <w:lang w:eastAsia="en-AU"/>
              </w:rPr>
            </w:pPr>
            <w:r w:rsidRPr="00A9546F">
              <w:rPr>
                <w:lang w:eastAsia="en-AU"/>
              </w:rPr>
              <w:t>26 per cent</w:t>
            </w:r>
          </w:p>
        </w:tc>
        <w:tc>
          <w:tcPr>
            <w:tcW w:w="1418" w:type="dxa"/>
            <w:tcBorders>
              <w:top w:val="nil"/>
              <w:left w:val="nil"/>
              <w:bottom w:val="single" w:sz="4" w:space="0" w:color="auto"/>
              <w:right w:val="single" w:sz="4" w:space="0" w:color="auto"/>
            </w:tcBorders>
            <w:shd w:val="clear" w:color="auto" w:fill="auto"/>
            <w:noWrap/>
            <w:vAlign w:val="center"/>
            <w:hideMark/>
          </w:tcPr>
          <w:p w14:paraId="39B2D3A6" w14:textId="77777777" w:rsidR="004E4798" w:rsidRPr="00A9546F" w:rsidRDefault="004E4798" w:rsidP="005F60E3">
            <w:pPr>
              <w:rPr>
                <w:lang w:eastAsia="en-AU"/>
              </w:rPr>
            </w:pPr>
            <w:r w:rsidRPr="00A9546F">
              <w:rPr>
                <w:lang w:eastAsia="en-AU"/>
              </w:rPr>
              <w:t>35 per cent</w:t>
            </w:r>
          </w:p>
        </w:tc>
        <w:tc>
          <w:tcPr>
            <w:tcW w:w="1701" w:type="dxa"/>
            <w:tcBorders>
              <w:top w:val="nil"/>
              <w:left w:val="nil"/>
              <w:bottom w:val="single" w:sz="4" w:space="0" w:color="auto"/>
              <w:right w:val="single" w:sz="4" w:space="0" w:color="auto"/>
            </w:tcBorders>
            <w:shd w:val="clear" w:color="auto" w:fill="auto"/>
            <w:noWrap/>
            <w:vAlign w:val="center"/>
            <w:hideMark/>
          </w:tcPr>
          <w:p w14:paraId="1C6E50F6" w14:textId="77777777" w:rsidR="004E4798" w:rsidRPr="00A9546F" w:rsidRDefault="004E4798" w:rsidP="005F60E3">
            <w:pPr>
              <w:rPr>
                <w:lang w:eastAsia="en-AU"/>
              </w:rPr>
            </w:pPr>
            <w:r w:rsidRPr="00A9546F">
              <w:rPr>
                <w:lang w:eastAsia="en-AU"/>
              </w:rPr>
              <w:t>35 per cent</w:t>
            </w:r>
          </w:p>
        </w:tc>
      </w:tr>
      <w:tr w:rsidR="004E4798" w:rsidRPr="00A9546F" w14:paraId="3C3F737F"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E68CB8A" w14:textId="77777777" w:rsidR="004E4798" w:rsidRPr="00A9546F" w:rsidRDefault="004E4798" w:rsidP="005F60E3">
            <w:pPr>
              <w:rPr>
                <w:lang w:eastAsia="en-AU"/>
              </w:rPr>
            </w:pPr>
            <w:r w:rsidRPr="00A9546F">
              <w:rPr>
                <w:lang w:eastAsia="en-AU"/>
              </w:rPr>
              <w:t>Household tasks</w:t>
            </w:r>
          </w:p>
        </w:tc>
        <w:tc>
          <w:tcPr>
            <w:tcW w:w="1701" w:type="dxa"/>
            <w:tcBorders>
              <w:top w:val="nil"/>
              <w:left w:val="nil"/>
              <w:bottom w:val="single" w:sz="4" w:space="0" w:color="auto"/>
              <w:right w:val="single" w:sz="4" w:space="0" w:color="auto"/>
            </w:tcBorders>
            <w:shd w:val="clear" w:color="auto" w:fill="auto"/>
            <w:noWrap/>
            <w:vAlign w:val="center"/>
            <w:hideMark/>
          </w:tcPr>
          <w:p w14:paraId="25555D87" w14:textId="77777777" w:rsidR="004E4798" w:rsidRPr="00A9546F" w:rsidRDefault="004E4798" w:rsidP="005F60E3">
            <w:pPr>
              <w:rPr>
                <w:lang w:eastAsia="en-AU"/>
              </w:rPr>
            </w:pPr>
            <w:r w:rsidRPr="00A9546F">
              <w:rPr>
                <w:lang w:eastAsia="en-AU"/>
              </w:rPr>
              <w:t>27 per cent</w:t>
            </w:r>
          </w:p>
        </w:tc>
        <w:tc>
          <w:tcPr>
            <w:tcW w:w="1418" w:type="dxa"/>
            <w:tcBorders>
              <w:top w:val="nil"/>
              <w:left w:val="nil"/>
              <w:bottom w:val="single" w:sz="4" w:space="0" w:color="auto"/>
              <w:right w:val="single" w:sz="4" w:space="0" w:color="auto"/>
            </w:tcBorders>
            <w:shd w:val="clear" w:color="auto" w:fill="auto"/>
            <w:noWrap/>
            <w:vAlign w:val="center"/>
            <w:hideMark/>
          </w:tcPr>
          <w:p w14:paraId="56F1C933" w14:textId="77777777" w:rsidR="004E4798" w:rsidRPr="00A9546F" w:rsidRDefault="004E4798" w:rsidP="005F60E3">
            <w:pPr>
              <w:rPr>
                <w:lang w:eastAsia="en-AU"/>
              </w:rPr>
            </w:pPr>
            <w:r w:rsidRPr="00A9546F">
              <w:rPr>
                <w:lang w:eastAsia="en-AU"/>
              </w:rPr>
              <w:t>41 per cent</w:t>
            </w:r>
          </w:p>
        </w:tc>
        <w:tc>
          <w:tcPr>
            <w:tcW w:w="1701" w:type="dxa"/>
            <w:tcBorders>
              <w:top w:val="nil"/>
              <w:left w:val="nil"/>
              <w:bottom w:val="single" w:sz="4" w:space="0" w:color="auto"/>
              <w:right w:val="single" w:sz="4" w:space="0" w:color="auto"/>
            </w:tcBorders>
            <w:shd w:val="clear" w:color="auto" w:fill="auto"/>
            <w:noWrap/>
            <w:vAlign w:val="center"/>
            <w:hideMark/>
          </w:tcPr>
          <w:p w14:paraId="14C09C78" w14:textId="77777777" w:rsidR="004E4798" w:rsidRPr="00A9546F" w:rsidRDefault="004E4798" w:rsidP="005F60E3">
            <w:pPr>
              <w:rPr>
                <w:lang w:eastAsia="en-AU"/>
              </w:rPr>
            </w:pPr>
            <w:r w:rsidRPr="00A9546F">
              <w:rPr>
                <w:lang w:eastAsia="en-AU"/>
              </w:rPr>
              <w:t>28 per cent</w:t>
            </w:r>
          </w:p>
        </w:tc>
      </w:tr>
      <w:tr w:rsidR="004E4798" w:rsidRPr="00A9546F" w14:paraId="5559B02B" w14:textId="77777777" w:rsidTr="005F60E3">
        <w:trPr>
          <w:trHeight w:val="6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93EA90C" w14:textId="77777777" w:rsidR="004E4798" w:rsidRPr="00A9546F" w:rsidRDefault="004E4798" w:rsidP="005F60E3">
            <w:pPr>
              <w:rPr>
                <w:lang w:eastAsia="en-AU"/>
              </w:rPr>
            </w:pPr>
            <w:r w:rsidRPr="00A9546F">
              <w:rPr>
                <w:lang w:eastAsia="en-AU"/>
              </w:rPr>
              <w:t>Assistance in coordinating or managing life stages, transitions and supports</w:t>
            </w:r>
          </w:p>
        </w:tc>
        <w:tc>
          <w:tcPr>
            <w:tcW w:w="1701" w:type="dxa"/>
            <w:tcBorders>
              <w:top w:val="nil"/>
              <w:left w:val="nil"/>
              <w:bottom w:val="single" w:sz="4" w:space="0" w:color="auto"/>
              <w:right w:val="single" w:sz="4" w:space="0" w:color="auto"/>
            </w:tcBorders>
            <w:shd w:val="clear" w:color="auto" w:fill="auto"/>
            <w:noWrap/>
            <w:vAlign w:val="center"/>
            <w:hideMark/>
          </w:tcPr>
          <w:p w14:paraId="23E8305D" w14:textId="77777777" w:rsidR="004E4798" w:rsidRPr="00A9546F" w:rsidRDefault="004E4798" w:rsidP="005F60E3">
            <w:pPr>
              <w:rPr>
                <w:lang w:eastAsia="en-AU"/>
              </w:rPr>
            </w:pPr>
            <w:r w:rsidRPr="00A9546F">
              <w:rPr>
                <w:lang w:eastAsia="en-AU"/>
              </w:rPr>
              <w:t>21 per cent</w:t>
            </w:r>
          </w:p>
        </w:tc>
        <w:tc>
          <w:tcPr>
            <w:tcW w:w="1418" w:type="dxa"/>
            <w:tcBorders>
              <w:top w:val="nil"/>
              <w:left w:val="nil"/>
              <w:bottom w:val="single" w:sz="4" w:space="0" w:color="auto"/>
              <w:right w:val="single" w:sz="4" w:space="0" w:color="auto"/>
            </w:tcBorders>
            <w:shd w:val="clear" w:color="auto" w:fill="auto"/>
            <w:noWrap/>
            <w:vAlign w:val="center"/>
            <w:hideMark/>
          </w:tcPr>
          <w:p w14:paraId="1D94350E" w14:textId="77777777" w:rsidR="004E4798" w:rsidRPr="00A9546F" w:rsidRDefault="004E4798" w:rsidP="005F60E3">
            <w:pPr>
              <w:rPr>
                <w:lang w:eastAsia="en-AU"/>
              </w:rPr>
            </w:pPr>
            <w:r w:rsidRPr="00A9546F">
              <w:rPr>
                <w:lang w:eastAsia="en-AU"/>
              </w:rPr>
              <w:t>36 per cent</w:t>
            </w:r>
          </w:p>
        </w:tc>
        <w:tc>
          <w:tcPr>
            <w:tcW w:w="1701" w:type="dxa"/>
            <w:tcBorders>
              <w:top w:val="nil"/>
              <w:left w:val="nil"/>
              <w:bottom w:val="single" w:sz="4" w:space="0" w:color="auto"/>
              <w:right w:val="single" w:sz="4" w:space="0" w:color="auto"/>
            </w:tcBorders>
            <w:shd w:val="clear" w:color="auto" w:fill="auto"/>
            <w:noWrap/>
            <w:vAlign w:val="center"/>
            <w:hideMark/>
          </w:tcPr>
          <w:p w14:paraId="59C428AF" w14:textId="77777777" w:rsidR="004E4798" w:rsidRPr="00A9546F" w:rsidRDefault="004E4798" w:rsidP="005F60E3">
            <w:pPr>
              <w:rPr>
                <w:lang w:eastAsia="en-AU"/>
              </w:rPr>
            </w:pPr>
            <w:r w:rsidRPr="00A9546F">
              <w:rPr>
                <w:lang w:eastAsia="en-AU"/>
              </w:rPr>
              <w:t>36 per cent</w:t>
            </w:r>
          </w:p>
        </w:tc>
      </w:tr>
      <w:tr w:rsidR="004E4798" w:rsidRPr="00A9546F" w14:paraId="6EB1E700"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CC83F5B" w14:textId="77777777" w:rsidR="004E4798" w:rsidRPr="00A9546F" w:rsidRDefault="004E4798" w:rsidP="005F60E3">
            <w:pPr>
              <w:rPr>
                <w:lang w:eastAsia="en-AU"/>
              </w:rPr>
            </w:pPr>
            <w:r w:rsidRPr="00A9546F">
              <w:rPr>
                <w:lang w:eastAsia="en-AU"/>
              </w:rPr>
              <w:t>Therapeutic supports</w:t>
            </w:r>
          </w:p>
        </w:tc>
        <w:tc>
          <w:tcPr>
            <w:tcW w:w="1701" w:type="dxa"/>
            <w:tcBorders>
              <w:top w:val="nil"/>
              <w:left w:val="nil"/>
              <w:bottom w:val="single" w:sz="4" w:space="0" w:color="auto"/>
              <w:right w:val="single" w:sz="4" w:space="0" w:color="auto"/>
            </w:tcBorders>
            <w:shd w:val="clear" w:color="auto" w:fill="auto"/>
            <w:noWrap/>
            <w:vAlign w:val="center"/>
            <w:hideMark/>
          </w:tcPr>
          <w:p w14:paraId="593368D0" w14:textId="77777777" w:rsidR="004E4798" w:rsidRPr="00A9546F" w:rsidRDefault="004E4798" w:rsidP="005F60E3">
            <w:pPr>
              <w:rPr>
                <w:lang w:eastAsia="en-AU"/>
              </w:rPr>
            </w:pPr>
            <w:r w:rsidRPr="00A9546F">
              <w:rPr>
                <w:lang w:eastAsia="en-AU"/>
              </w:rPr>
              <w:t>25 per cent</w:t>
            </w:r>
          </w:p>
        </w:tc>
        <w:tc>
          <w:tcPr>
            <w:tcW w:w="1418" w:type="dxa"/>
            <w:tcBorders>
              <w:top w:val="nil"/>
              <w:left w:val="nil"/>
              <w:bottom w:val="single" w:sz="4" w:space="0" w:color="auto"/>
              <w:right w:val="single" w:sz="4" w:space="0" w:color="auto"/>
            </w:tcBorders>
            <w:shd w:val="clear" w:color="auto" w:fill="auto"/>
            <w:noWrap/>
            <w:vAlign w:val="center"/>
            <w:hideMark/>
          </w:tcPr>
          <w:p w14:paraId="2448DCFD" w14:textId="77777777" w:rsidR="004E4798" w:rsidRPr="00A9546F" w:rsidRDefault="004E4798" w:rsidP="005F60E3">
            <w:pPr>
              <w:rPr>
                <w:lang w:eastAsia="en-AU"/>
              </w:rPr>
            </w:pPr>
            <w:r w:rsidRPr="00A9546F">
              <w:rPr>
                <w:lang w:eastAsia="en-AU"/>
              </w:rPr>
              <w:t>23 per cent</w:t>
            </w:r>
          </w:p>
        </w:tc>
        <w:tc>
          <w:tcPr>
            <w:tcW w:w="1701" w:type="dxa"/>
            <w:tcBorders>
              <w:top w:val="nil"/>
              <w:left w:val="nil"/>
              <w:bottom w:val="single" w:sz="4" w:space="0" w:color="auto"/>
              <w:right w:val="single" w:sz="4" w:space="0" w:color="auto"/>
            </w:tcBorders>
            <w:shd w:val="clear" w:color="auto" w:fill="auto"/>
            <w:noWrap/>
            <w:vAlign w:val="center"/>
            <w:hideMark/>
          </w:tcPr>
          <w:p w14:paraId="1A529F31" w14:textId="77777777" w:rsidR="004E4798" w:rsidRPr="00A9546F" w:rsidRDefault="004E4798" w:rsidP="005F60E3">
            <w:pPr>
              <w:rPr>
                <w:lang w:eastAsia="en-AU"/>
              </w:rPr>
            </w:pPr>
            <w:r w:rsidRPr="00A9546F">
              <w:rPr>
                <w:lang w:eastAsia="en-AU"/>
              </w:rPr>
              <w:t>47 per cent</w:t>
            </w:r>
          </w:p>
        </w:tc>
      </w:tr>
      <w:tr w:rsidR="004E4798" w:rsidRPr="00A9546F" w14:paraId="7A8E0F9A" w14:textId="77777777" w:rsidTr="005F60E3">
        <w:trPr>
          <w:trHeight w:val="300"/>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9F7E0CA" w14:textId="77777777" w:rsidR="004E4798" w:rsidRPr="00A9546F" w:rsidRDefault="004E4798" w:rsidP="005F60E3">
            <w:pPr>
              <w:rPr>
                <w:lang w:eastAsia="en-AU"/>
              </w:rPr>
            </w:pPr>
            <w:r w:rsidRPr="00A9546F">
              <w:rPr>
                <w:lang w:eastAsia="en-AU"/>
              </w:rPr>
              <w:t>Innovative community participation</w:t>
            </w:r>
          </w:p>
        </w:tc>
        <w:tc>
          <w:tcPr>
            <w:tcW w:w="1701" w:type="dxa"/>
            <w:tcBorders>
              <w:top w:val="nil"/>
              <w:left w:val="nil"/>
              <w:bottom w:val="single" w:sz="4" w:space="0" w:color="auto"/>
              <w:right w:val="single" w:sz="4" w:space="0" w:color="auto"/>
            </w:tcBorders>
            <w:shd w:val="clear" w:color="auto" w:fill="auto"/>
            <w:noWrap/>
            <w:vAlign w:val="center"/>
            <w:hideMark/>
          </w:tcPr>
          <w:p w14:paraId="75776D89" w14:textId="77777777" w:rsidR="004E4798" w:rsidRPr="00A9546F" w:rsidRDefault="004E4798" w:rsidP="005F60E3">
            <w:pPr>
              <w:rPr>
                <w:lang w:eastAsia="en-AU"/>
              </w:rPr>
            </w:pPr>
            <w:r w:rsidRPr="00A9546F">
              <w:rPr>
                <w:lang w:eastAsia="en-AU"/>
              </w:rPr>
              <w:t>19 per cent</w:t>
            </w:r>
          </w:p>
        </w:tc>
        <w:tc>
          <w:tcPr>
            <w:tcW w:w="1418" w:type="dxa"/>
            <w:tcBorders>
              <w:top w:val="nil"/>
              <w:left w:val="nil"/>
              <w:bottom w:val="single" w:sz="4" w:space="0" w:color="auto"/>
              <w:right w:val="single" w:sz="4" w:space="0" w:color="auto"/>
            </w:tcBorders>
            <w:shd w:val="clear" w:color="auto" w:fill="auto"/>
            <w:noWrap/>
            <w:vAlign w:val="center"/>
            <w:hideMark/>
          </w:tcPr>
          <w:p w14:paraId="01B21DE7" w14:textId="77777777" w:rsidR="004E4798" w:rsidRPr="00A9546F" w:rsidRDefault="004E4798" w:rsidP="005F60E3">
            <w:pPr>
              <w:rPr>
                <w:lang w:eastAsia="en-AU"/>
              </w:rPr>
            </w:pPr>
            <w:r w:rsidRPr="00A9546F">
              <w:rPr>
                <w:lang w:eastAsia="en-AU"/>
              </w:rPr>
              <w:t>36 per cent</w:t>
            </w:r>
          </w:p>
        </w:tc>
        <w:tc>
          <w:tcPr>
            <w:tcW w:w="1701" w:type="dxa"/>
            <w:tcBorders>
              <w:top w:val="nil"/>
              <w:left w:val="nil"/>
              <w:bottom w:val="single" w:sz="4" w:space="0" w:color="auto"/>
              <w:right w:val="single" w:sz="4" w:space="0" w:color="auto"/>
            </w:tcBorders>
            <w:shd w:val="clear" w:color="auto" w:fill="auto"/>
            <w:noWrap/>
            <w:vAlign w:val="center"/>
            <w:hideMark/>
          </w:tcPr>
          <w:p w14:paraId="2931E795" w14:textId="77777777" w:rsidR="004E4798" w:rsidRPr="00A9546F" w:rsidRDefault="004E4798" w:rsidP="005F60E3">
            <w:pPr>
              <w:rPr>
                <w:lang w:eastAsia="en-AU"/>
              </w:rPr>
            </w:pPr>
            <w:r w:rsidRPr="00A9546F">
              <w:rPr>
                <w:lang w:eastAsia="en-AU"/>
              </w:rPr>
              <w:t>39 per cent</w:t>
            </w:r>
          </w:p>
        </w:tc>
      </w:tr>
    </w:tbl>
    <w:p w14:paraId="3AF0F09C" w14:textId="085C2646" w:rsidR="004316F3" w:rsidRDefault="7EFE1367" w:rsidP="00B81B8B">
      <w:pPr>
        <w:pStyle w:val="NormalFirstAfterTable"/>
      </w:pPr>
      <w:r>
        <w:lastRenderedPageBreak/>
        <w:t xml:space="preserve">Respondents </w:t>
      </w:r>
      <w:r w:rsidR="004038E1">
        <w:t>expected to</w:t>
      </w:r>
      <w:r>
        <w:t xml:space="preserve"> increas</w:t>
      </w:r>
      <w:r w:rsidR="004038E1">
        <w:t>e</w:t>
      </w:r>
      <w:r>
        <w:t xml:space="preserve"> some of their services next year while reducing others</w:t>
      </w:r>
      <w:r w:rsidR="00987E9A">
        <w:t>,</w:t>
      </w:r>
      <w:r>
        <w:t xml:space="preserve"> resulting in planned net increases for delivery of </w:t>
      </w:r>
      <w:proofErr w:type="gramStart"/>
      <w:r>
        <w:t>a number of</w:t>
      </w:r>
      <w:proofErr w:type="gramEnd"/>
      <w:r>
        <w:t xml:space="preserve"> services</w:t>
      </w:r>
      <w:r w:rsidR="00031852" w:rsidRPr="007B3F2D">
        <w:t xml:space="preserve"> </w:t>
      </w:r>
      <w:r w:rsidR="00031852">
        <w:t xml:space="preserve">(see </w:t>
      </w:r>
      <w:r w:rsidR="00031852">
        <w:fldChar w:fldCharType="begin"/>
      </w:r>
      <w:r w:rsidR="00031852">
        <w:instrText xml:space="preserve"> REF _Ref183700222 \h </w:instrText>
      </w:r>
      <w:r w:rsidR="00031852">
        <w:fldChar w:fldCharType="separate"/>
      </w:r>
      <w:r w:rsidR="009D342F">
        <w:t>Table </w:t>
      </w:r>
      <w:r w:rsidR="00031852">
        <w:rPr>
          <w:noProof/>
        </w:rPr>
        <w:t>12</w:t>
      </w:r>
      <w:r w:rsidR="00031852">
        <w:fldChar w:fldCharType="end"/>
      </w:r>
      <w:r w:rsidR="00031852">
        <w:t>)</w:t>
      </w:r>
      <w:r>
        <w:t>.</w:t>
      </w:r>
    </w:p>
    <w:p w14:paraId="0EB5471D" w14:textId="77777777" w:rsidR="004316F3" w:rsidRDefault="7EFE1367" w:rsidP="0097062A">
      <w:r>
        <w:t xml:space="preserve">According to the data (subtracting respondents who plan to stop or reduce provision of a particular service from those who plan to start), we </w:t>
      </w:r>
      <w:r w:rsidR="00872C11">
        <w:t>expect to see</w:t>
      </w:r>
      <w:r>
        <w:t xml:space="preserve"> larger increases in Participation in Community, Social and Civic Activities, Daily Personal Activities, Assistance with Daily Life Tasks in a Group or Shared Living Arrangement, Development of Daily Living and Life Skills, and Group and Centre Based Activities.</w:t>
      </w:r>
    </w:p>
    <w:p w14:paraId="51B26C2D" w14:textId="77777777" w:rsidR="004316F3" w:rsidRDefault="7EFE1367" w:rsidP="0097062A">
      <w:r>
        <w:t>Smaller but still notable increases may be seen in High Intensity Daily Personal Activities, Innovative Community Participation, Specialist Positive Behaviour Support, Therapeutic Supports, Household Tasks, Assistance to Access and Maintain Employment or Higher Education, and Assistance with Travel</w:t>
      </w:r>
      <w:r w:rsidR="00B85D43">
        <w:t xml:space="preserve"> and </w:t>
      </w:r>
      <w:r>
        <w:t>Transport Arrangements.</w:t>
      </w:r>
    </w:p>
    <w:p w14:paraId="4E4FB331" w14:textId="77777777" w:rsidR="004316F3" w:rsidRDefault="00B021DF" w:rsidP="0097062A">
      <w:r w:rsidRPr="00E21061">
        <w:t>Only 65 respondents (18 per cent) plan to provid</w:t>
      </w:r>
      <w:r w:rsidR="00B55782">
        <w:t>e</w:t>
      </w:r>
      <w:r w:rsidRPr="00E21061">
        <w:t xml:space="preserve"> a new NDIS funded service, with no standout services</w:t>
      </w:r>
      <w:r w:rsidR="00B55782">
        <w:rPr>
          <w:lang w:val="en-US"/>
        </w:rPr>
        <w:t>. T</w:t>
      </w:r>
      <w:r w:rsidRPr="00E21061">
        <w:t xml:space="preserve">he </w:t>
      </w:r>
      <w:proofErr w:type="gramStart"/>
      <w:r w:rsidRPr="00E21061">
        <w:t>most commonly reported</w:t>
      </w:r>
      <w:proofErr w:type="gramEnd"/>
      <w:r w:rsidRPr="00E21061">
        <w:t xml:space="preserve"> increase is to</w:t>
      </w:r>
      <w:r w:rsidRPr="629B0C12">
        <w:t xml:space="preserve"> specialist positive behaviour support</w:t>
      </w:r>
      <w:r w:rsidR="006C5F9B">
        <w:t>,</w:t>
      </w:r>
      <w:r w:rsidRPr="629B0C12">
        <w:t xml:space="preserve"> with </w:t>
      </w:r>
      <w:r>
        <w:t>nine</w:t>
      </w:r>
      <w:r w:rsidRPr="629B0C12">
        <w:t xml:space="preserve"> organisations planning to begin providing these services.</w:t>
      </w:r>
    </w:p>
    <w:p w14:paraId="2FF38FCF" w14:textId="3313E10A" w:rsidR="00B50CFF" w:rsidRDefault="009D342F" w:rsidP="005366DB">
      <w:pPr>
        <w:pStyle w:val="Caption"/>
      </w:pPr>
      <w:bookmarkStart w:id="39" w:name="_Ref183700222"/>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12</w:t>
      </w:r>
      <w:r w:rsidR="0007250B" w:rsidRPr="001A77F7">
        <w:rPr>
          <w:b/>
          <w:bCs/>
          <w:noProof/>
        </w:rPr>
        <w:fldChar w:fldCharType="end"/>
      </w:r>
      <w:bookmarkEnd w:id="39"/>
      <w:r w:rsidR="00B50CFF" w:rsidRPr="00F56638">
        <w:t xml:space="preserve"> </w:t>
      </w:r>
      <w:r w:rsidR="00B50CFF" w:rsidRPr="009F202C">
        <w:t>Services provided and plans to increase services</w:t>
      </w:r>
    </w:p>
    <w:tbl>
      <w:tblPr>
        <w:tblW w:w="9067" w:type="dxa"/>
        <w:tblLook w:val="04A0" w:firstRow="1" w:lastRow="0" w:firstColumn="1" w:lastColumn="0" w:noHBand="0" w:noVBand="1"/>
        <w:tblCaption w:val="Table 12 Services provided and plans to increase services"/>
        <w:tblDescription w:val="A table showing services currently provided and planned to commence in the next year."/>
      </w:tblPr>
      <w:tblGrid>
        <w:gridCol w:w="5524"/>
        <w:gridCol w:w="1701"/>
        <w:gridCol w:w="1842"/>
      </w:tblGrid>
      <w:tr w:rsidR="00B81B8B" w:rsidRPr="00694141" w14:paraId="220CD276" w14:textId="77777777" w:rsidTr="0012533D">
        <w:trPr>
          <w:trHeight w:val="565"/>
          <w:tblHeader/>
        </w:trPr>
        <w:tc>
          <w:tcPr>
            <w:tcW w:w="552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D96C8B" w14:textId="77777777" w:rsidR="00B81B8B" w:rsidRPr="00694141" w:rsidRDefault="00B81B8B" w:rsidP="00694141">
            <w:pPr>
              <w:rPr>
                <w:b/>
                <w:bCs/>
                <w:lang w:eastAsia="en-AU"/>
              </w:rPr>
            </w:pPr>
            <w:bookmarkStart w:id="40" w:name="Title_Table_12"/>
            <w:bookmarkEnd w:id="40"/>
            <w:r w:rsidRPr="00694141">
              <w:rPr>
                <w:b/>
                <w:bCs/>
                <w:lang w:eastAsia="en-AU"/>
              </w:rPr>
              <w:t>Registration group</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82618B7" w14:textId="77777777" w:rsidR="00B81B8B" w:rsidRPr="00694141" w:rsidRDefault="00B81B8B" w:rsidP="00694141">
            <w:pPr>
              <w:rPr>
                <w:b/>
                <w:bCs/>
                <w:lang w:eastAsia="en-AU"/>
              </w:rPr>
            </w:pPr>
            <w:r w:rsidRPr="00694141">
              <w:rPr>
                <w:b/>
                <w:bCs/>
                <w:lang w:eastAsia="en-AU"/>
              </w:rPr>
              <w:t>Currently providing</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788F0702" w14:textId="77777777" w:rsidR="00B81B8B" w:rsidRPr="00694141" w:rsidRDefault="00B81B8B" w:rsidP="00694141">
            <w:pPr>
              <w:rPr>
                <w:b/>
                <w:bCs/>
                <w:lang w:eastAsia="en-AU"/>
              </w:rPr>
            </w:pPr>
            <w:r w:rsidRPr="00694141">
              <w:rPr>
                <w:b/>
                <w:bCs/>
                <w:lang w:eastAsia="en-AU"/>
              </w:rPr>
              <w:t>Plan to commence</w:t>
            </w:r>
          </w:p>
        </w:tc>
      </w:tr>
      <w:tr w:rsidR="00B81B8B" w:rsidRPr="00BC6CC3" w14:paraId="7F2C9078"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F2C0B9" w14:textId="77777777" w:rsidR="00B81B8B" w:rsidRPr="00BC6CC3" w:rsidRDefault="00B81B8B" w:rsidP="005F60E3">
            <w:pPr>
              <w:rPr>
                <w:lang w:eastAsia="en-AU"/>
              </w:rPr>
            </w:pPr>
            <w:r w:rsidRPr="00BC6CC3">
              <w:rPr>
                <w:lang w:eastAsia="en-AU"/>
              </w:rPr>
              <w:t>Participation in community, social and civic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5BD85A76" w14:textId="77777777" w:rsidR="00B81B8B" w:rsidRPr="00BC6CC3" w:rsidRDefault="00B81B8B" w:rsidP="005F60E3">
            <w:pPr>
              <w:rPr>
                <w:lang w:eastAsia="en-AU"/>
              </w:rPr>
            </w:pPr>
            <w:r w:rsidRPr="00BC6CC3">
              <w:rPr>
                <w:lang w:eastAsia="en-AU"/>
              </w:rPr>
              <w:t>63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1613583B"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23F87D79"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BAF3EE8" w14:textId="77777777" w:rsidR="00B81B8B" w:rsidRPr="00BC6CC3" w:rsidRDefault="00B81B8B" w:rsidP="005F60E3">
            <w:pPr>
              <w:rPr>
                <w:lang w:eastAsia="en-AU"/>
              </w:rPr>
            </w:pPr>
            <w:r w:rsidRPr="00BC6CC3">
              <w:rPr>
                <w:lang w:eastAsia="en-AU"/>
              </w:rPr>
              <w:t xml:space="preserve">Daily personal activities </w:t>
            </w:r>
          </w:p>
        </w:tc>
        <w:tc>
          <w:tcPr>
            <w:tcW w:w="1701" w:type="dxa"/>
            <w:tcBorders>
              <w:top w:val="nil"/>
              <w:left w:val="nil"/>
              <w:bottom w:val="single" w:sz="4" w:space="0" w:color="auto"/>
              <w:right w:val="single" w:sz="4" w:space="0" w:color="auto"/>
            </w:tcBorders>
            <w:shd w:val="clear" w:color="auto" w:fill="auto"/>
            <w:noWrap/>
            <w:vAlign w:val="center"/>
            <w:hideMark/>
          </w:tcPr>
          <w:p w14:paraId="3D0D391A" w14:textId="77777777" w:rsidR="00B81B8B" w:rsidRPr="00BC6CC3" w:rsidRDefault="00B81B8B" w:rsidP="005F60E3">
            <w:pPr>
              <w:rPr>
                <w:lang w:eastAsia="en-AU"/>
              </w:rPr>
            </w:pPr>
            <w:r w:rsidRPr="00BC6CC3">
              <w:rPr>
                <w:lang w:eastAsia="en-AU"/>
              </w:rPr>
              <w:t>58</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F5466CC"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2EA82D6E"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EF24AE0" w14:textId="77777777" w:rsidR="00B81B8B" w:rsidRPr="00BC6CC3" w:rsidRDefault="00B81B8B" w:rsidP="005F60E3">
            <w:pPr>
              <w:rPr>
                <w:lang w:eastAsia="en-AU"/>
              </w:rPr>
            </w:pPr>
            <w:r w:rsidRPr="00BC6CC3">
              <w:rPr>
                <w:lang w:eastAsia="en-AU"/>
              </w:rPr>
              <w:t xml:space="preserve">Development of daily living and life skills </w:t>
            </w:r>
          </w:p>
        </w:tc>
        <w:tc>
          <w:tcPr>
            <w:tcW w:w="1701" w:type="dxa"/>
            <w:tcBorders>
              <w:top w:val="nil"/>
              <w:left w:val="nil"/>
              <w:bottom w:val="single" w:sz="4" w:space="0" w:color="auto"/>
              <w:right w:val="single" w:sz="4" w:space="0" w:color="auto"/>
            </w:tcBorders>
            <w:shd w:val="clear" w:color="auto" w:fill="auto"/>
            <w:noWrap/>
            <w:vAlign w:val="center"/>
            <w:hideMark/>
          </w:tcPr>
          <w:p w14:paraId="002F2488" w14:textId="77777777" w:rsidR="00B81B8B" w:rsidRPr="00BC6CC3" w:rsidRDefault="00B81B8B" w:rsidP="005F60E3">
            <w:pPr>
              <w:rPr>
                <w:lang w:eastAsia="en-AU"/>
              </w:rPr>
            </w:pPr>
            <w:r w:rsidRPr="00BC6CC3">
              <w:rPr>
                <w:lang w:eastAsia="en-AU"/>
              </w:rPr>
              <w:t>53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B992EE1"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78F9D5AD"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E3A5F6" w14:textId="77777777" w:rsidR="00B81B8B" w:rsidRPr="00BC6CC3" w:rsidRDefault="00B81B8B" w:rsidP="005F60E3">
            <w:pPr>
              <w:rPr>
                <w:lang w:eastAsia="en-AU"/>
              </w:rPr>
            </w:pPr>
            <w:r w:rsidRPr="00BC6CC3">
              <w:rPr>
                <w:lang w:eastAsia="en-AU"/>
              </w:rPr>
              <w:t xml:space="preserve">Support coordination </w:t>
            </w:r>
          </w:p>
        </w:tc>
        <w:tc>
          <w:tcPr>
            <w:tcW w:w="1701" w:type="dxa"/>
            <w:tcBorders>
              <w:top w:val="nil"/>
              <w:left w:val="nil"/>
              <w:bottom w:val="single" w:sz="4" w:space="0" w:color="auto"/>
              <w:right w:val="single" w:sz="4" w:space="0" w:color="auto"/>
            </w:tcBorders>
            <w:shd w:val="clear" w:color="auto" w:fill="auto"/>
            <w:noWrap/>
            <w:vAlign w:val="center"/>
            <w:hideMark/>
          </w:tcPr>
          <w:p w14:paraId="2C628F68" w14:textId="77777777" w:rsidR="00B81B8B" w:rsidRPr="00BC6CC3" w:rsidRDefault="00B81B8B" w:rsidP="005F60E3">
            <w:pPr>
              <w:rPr>
                <w:lang w:eastAsia="en-AU"/>
              </w:rPr>
            </w:pPr>
            <w:r w:rsidRPr="00BC6CC3">
              <w:rPr>
                <w:lang w:eastAsia="en-AU"/>
              </w:rPr>
              <w:t>51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5C2455BB"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141B7C31" w14:textId="77777777" w:rsidTr="0012533D">
        <w:trPr>
          <w:trHeight w:val="6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3873986" w14:textId="77777777" w:rsidR="00B81B8B" w:rsidRPr="00BC6CC3" w:rsidRDefault="00B81B8B" w:rsidP="005F60E3">
            <w:pPr>
              <w:rPr>
                <w:lang w:eastAsia="en-AU"/>
              </w:rPr>
            </w:pPr>
            <w:r w:rsidRPr="00BC6CC3">
              <w:rPr>
                <w:lang w:eastAsia="en-AU"/>
              </w:rPr>
              <w:t xml:space="preserve">Assistance with daily life tasks in a group or shared living arrangement </w:t>
            </w:r>
          </w:p>
        </w:tc>
        <w:tc>
          <w:tcPr>
            <w:tcW w:w="1701" w:type="dxa"/>
            <w:tcBorders>
              <w:top w:val="nil"/>
              <w:left w:val="nil"/>
              <w:bottom w:val="single" w:sz="4" w:space="0" w:color="auto"/>
              <w:right w:val="single" w:sz="4" w:space="0" w:color="auto"/>
            </w:tcBorders>
            <w:shd w:val="clear" w:color="auto" w:fill="auto"/>
            <w:noWrap/>
            <w:vAlign w:val="center"/>
            <w:hideMark/>
          </w:tcPr>
          <w:p w14:paraId="15B67DE8" w14:textId="77777777" w:rsidR="00B81B8B" w:rsidRPr="00BC6CC3" w:rsidRDefault="00B81B8B" w:rsidP="005F60E3">
            <w:pPr>
              <w:rPr>
                <w:lang w:eastAsia="en-AU"/>
              </w:rPr>
            </w:pPr>
            <w:r w:rsidRPr="00BC6CC3">
              <w:rPr>
                <w:lang w:eastAsia="en-AU"/>
              </w:rPr>
              <w:t>49</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1508F7EA"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44F02292"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D780F68" w14:textId="77777777" w:rsidR="00B81B8B" w:rsidRPr="00BC6CC3" w:rsidRDefault="00B81B8B" w:rsidP="005F60E3">
            <w:pPr>
              <w:rPr>
                <w:lang w:eastAsia="en-AU"/>
              </w:rPr>
            </w:pPr>
            <w:r w:rsidRPr="00BC6CC3">
              <w:rPr>
                <w:lang w:eastAsia="en-AU"/>
              </w:rPr>
              <w:t xml:space="preserve">Group and </w:t>
            </w:r>
            <w:proofErr w:type="gramStart"/>
            <w:r w:rsidRPr="00BC6CC3">
              <w:rPr>
                <w:lang w:eastAsia="en-AU"/>
              </w:rPr>
              <w:t>centre based</w:t>
            </w:r>
            <w:proofErr w:type="gramEnd"/>
            <w:r w:rsidRPr="00BC6CC3">
              <w:rPr>
                <w:lang w:eastAsia="en-AU"/>
              </w:rPr>
              <w:t xml:space="preserve">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01F3FE0C" w14:textId="77777777" w:rsidR="00B81B8B" w:rsidRPr="00BC6CC3" w:rsidRDefault="00B81B8B" w:rsidP="005F60E3">
            <w:pPr>
              <w:rPr>
                <w:lang w:eastAsia="en-AU"/>
              </w:rPr>
            </w:pPr>
            <w:r w:rsidRPr="00BC6CC3">
              <w:rPr>
                <w:lang w:eastAsia="en-AU"/>
              </w:rPr>
              <w:t>46</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0865D02E"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303191BA"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B6B0BCD" w14:textId="77777777" w:rsidR="00B81B8B" w:rsidRPr="00BC6CC3" w:rsidRDefault="00B81B8B" w:rsidP="005F60E3">
            <w:pPr>
              <w:rPr>
                <w:lang w:eastAsia="en-AU"/>
              </w:rPr>
            </w:pPr>
            <w:r w:rsidRPr="00BC6CC3">
              <w:rPr>
                <w:lang w:eastAsia="en-AU"/>
              </w:rPr>
              <w:lastRenderedPageBreak/>
              <w:t>Assistance with travel/transport arrangements</w:t>
            </w:r>
          </w:p>
        </w:tc>
        <w:tc>
          <w:tcPr>
            <w:tcW w:w="1701" w:type="dxa"/>
            <w:tcBorders>
              <w:top w:val="nil"/>
              <w:left w:val="nil"/>
              <w:bottom w:val="single" w:sz="4" w:space="0" w:color="auto"/>
              <w:right w:val="single" w:sz="4" w:space="0" w:color="auto"/>
            </w:tcBorders>
            <w:shd w:val="clear" w:color="auto" w:fill="auto"/>
            <w:noWrap/>
            <w:vAlign w:val="center"/>
            <w:hideMark/>
          </w:tcPr>
          <w:p w14:paraId="64B0A10B" w14:textId="77777777" w:rsidR="00B81B8B" w:rsidRPr="00BC6CC3" w:rsidRDefault="00B81B8B" w:rsidP="005F60E3">
            <w:pPr>
              <w:rPr>
                <w:lang w:eastAsia="en-AU"/>
              </w:rPr>
            </w:pPr>
            <w:r w:rsidRPr="00BC6CC3">
              <w:rPr>
                <w:lang w:eastAsia="en-AU"/>
              </w:rPr>
              <w:t>43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71F2093"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2CBAB95E"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8B05CBE" w14:textId="77777777" w:rsidR="00B81B8B" w:rsidRPr="00BC6CC3" w:rsidRDefault="00B81B8B" w:rsidP="005F60E3">
            <w:pPr>
              <w:rPr>
                <w:lang w:eastAsia="en-AU"/>
              </w:rPr>
            </w:pPr>
            <w:r w:rsidRPr="00BC6CC3">
              <w:rPr>
                <w:lang w:eastAsia="en-AU"/>
              </w:rPr>
              <w:t>High intensity daily personal activities</w:t>
            </w:r>
          </w:p>
        </w:tc>
        <w:tc>
          <w:tcPr>
            <w:tcW w:w="1701" w:type="dxa"/>
            <w:tcBorders>
              <w:top w:val="nil"/>
              <w:left w:val="nil"/>
              <w:bottom w:val="single" w:sz="4" w:space="0" w:color="auto"/>
              <w:right w:val="single" w:sz="4" w:space="0" w:color="auto"/>
            </w:tcBorders>
            <w:shd w:val="clear" w:color="auto" w:fill="auto"/>
            <w:noWrap/>
            <w:vAlign w:val="center"/>
            <w:hideMark/>
          </w:tcPr>
          <w:p w14:paraId="20E2CC80" w14:textId="77777777" w:rsidR="00B81B8B" w:rsidRPr="00BC6CC3" w:rsidRDefault="00B81B8B" w:rsidP="005F60E3">
            <w:pPr>
              <w:rPr>
                <w:lang w:eastAsia="en-AU"/>
              </w:rPr>
            </w:pPr>
            <w:r w:rsidRPr="00BC6CC3">
              <w:rPr>
                <w:lang w:eastAsia="en-AU"/>
              </w:rPr>
              <w:t>41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7CC1E7F"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2B031AEC"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2660CB7" w14:textId="77777777" w:rsidR="00B81B8B" w:rsidRPr="00BC6CC3" w:rsidRDefault="00B81B8B" w:rsidP="005F60E3">
            <w:pPr>
              <w:rPr>
                <w:lang w:eastAsia="en-AU"/>
              </w:rPr>
            </w:pPr>
            <w:r w:rsidRPr="00BC6CC3">
              <w:rPr>
                <w:lang w:eastAsia="en-AU"/>
              </w:rPr>
              <w:t>Household tasks</w:t>
            </w:r>
          </w:p>
        </w:tc>
        <w:tc>
          <w:tcPr>
            <w:tcW w:w="1701" w:type="dxa"/>
            <w:tcBorders>
              <w:top w:val="nil"/>
              <w:left w:val="nil"/>
              <w:bottom w:val="single" w:sz="4" w:space="0" w:color="auto"/>
              <w:right w:val="single" w:sz="4" w:space="0" w:color="auto"/>
            </w:tcBorders>
            <w:shd w:val="clear" w:color="auto" w:fill="auto"/>
            <w:noWrap/>
            <w:vAlign w:val="center"/>
            <w:hideMark/>
          </w:tcPr>
          <w:p w14:paraId="7002797B" w14:textId="77777777" w:rsidR="00B81B8B" w:rsidRPr="00BC6CC3" w:rsidRDefault="00B81B8B" w:rsidP="005F60E3">
            <w:pPr>
              <w:rPr>
                <w:lang w:eastAsia="en-AU"/>
              </w:rPr>
            </w:pPr>
            <w:r w:rsidRPr="00BC6CC3">
              <w:rPr>
                <w:lang w:eastAsia="en-AU"/>
              </w:rPr>
              <w:t>33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9FB5BF2"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6C054571" w14:textId="77777777" w:rsidTr="0012533D">
        <w:trPr>
          <w:trHeight w:val="6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12C9891" w14:textId="77777777" w:rsidR="00B81B8B" w:rsidRPr="00BC6CC3" w:rsidRDefault="00B81B8B" w:rsidP="005F60E3">
            <w:pPr>
              <w:rPr>
                <w:lang w:eastAsia="en-AU"/>
              </w:rPr>
            </w:pPr>
            <w:r w:rsidRPr="00BC6CC3">
              <w:rPr>
                <w:lang w:eastAsia="en-AU"/>
              </w:rPr>
              <w:t xml:space="preserve">Assistance in coordinating or managing life stages, transitions and supports </w:t>
            </w:r>
          </w:p>
        </w:tc>
        <w:tc>
          <w:tcPr>
            <w:tcW w:w="1701" w:type="dxa"/>
            <w:tcBorders>
              <w:top w:val="nil"/>
              <w:left w:val="nil"/>
              <w:bottom w:val="single" w:sz="4" w:space="0" w:color="auto"/>
              <w:right w:val="single" w:sz="4" w:space="0" w:color="auto"/>
            </w:tcBorders>
            <w:shd w:val="clear" w:color="auto" w:fill="auto"/>
            <w:noWrap/>
            <w:vAlign w:val="center"/>
            <w:hideMark/>
          </w:tcPr>
          <w:p w14:paraId="16E5BB6F" w14:textId="77777777" w:rsidR="00B81B8B" w:rsidRPr="00BC6CC3" w:rsidRDefault="00B81B8B" w:rsidP="005F60E3">
            <w:pPr>
              <w:rPr>
                <w:lang w:eastAsia="en-AU"/>
              </w:rPr>
            </w:pPr>
            <w:r w:rsidRPr="00BC6CC3">
              <w:rPr>
                <w:lang w:eastAsia="en-AU"/>
              </w:rPr>
              <w:t>31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0654531D"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70881DEB"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45EBF3" w14:textId="77777777" w:rsidR="00B81B8B" w:rsidRPr="00BC6CC3" w:rsidRDefault="00B81B8B" w:rsidP="005F60E3">
            <w:pPr>
              <w:rPr>
                <w:lang w:eastAsia="en-AU"/>
              </w:rPr>
            </w:pPr>
            <w:r w:rsidRPr="00BC6CC3">
              <w:rPr>
                <w:lang w:eastAsia="en-AU"/>
              </w:rPr>
              <w:t>Therapeutic supports</w:t>
            </w:r>
          </w:p>
        </w:tc>
        <w:tc>
          <w:tcPr>
            <w:tcW w:w="1701" w:type="dxa"/>
            <w:tcBorders>
              <w:top w:val="nil"/>
              <w:left w:val="nil"/>
              <w:bottom w:val="single" w:sz="4" w:space="0" w:color="auto"/>
              <w:right w:val="single" w:sz="4" w:space="0" w:color="auto"/>
            </w:tcBorders>
            <w:shd w:val="clear" w:color="auto" w:fill="auto"/>
            <w:noWrap/>
            <w:vAlign w:val="center"/>
            <w:hideMark/>
          </w:tcPr>
          <w:p w14:paraId="12799256" w14:textId="77777777" w:rsidR="00B81B8B" w:rsidRPr="00BC6CC3" w:rsidRDefault="00B81B8B" w:rsidP="005F60E3">
            <w:pPr>
              <w:rPr>
                <w:lang w:eastAsia="en-AU"/>
              </w:rPr>
            </w:pPr>
            <w:r w:rsidRPr="00BC6CC3">
              <w:rPr>
                <w:lang w:eastAsia="en-AU"/>
              </w:rPr>
              <w:t>27</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5CEFA48A"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42AA3394"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0F0ADC5" w14:textId="77777777" w:rsidR="00B81B8B" w:rsidRPr="00BC6CC3" w:rsidRDefault="00B81B8B" w:rsidP="005F60E3">
            <w:pPr>
              <w:rPr>
                <w:lang w:eastAsia="en-AU"/>
              </w:rPr>
            </w:pPr>
            <w:r w:rsidRPr="00BC6CC3">
              <w:rPr>
                <w:lang w:eastAsia="en-AU"/>
              </w:rPr>
              <w:t>Innovative community participation</w:t>
            </w:r>
          </w:p>
        </w:tc>
        <w:tc>
          <w:tcPr>
            <w:tcW w:w="1701" w:type="dxa"/>
            <w:tcBorders>
              <w:top w:val="nil"/>
              <w:left w:val="nil"/>
              <w:bottom w:val="single" w:sz="4" w:space="0" w:color="auto"/>
              <w:right w:val="single" w:sz="4" w:space="0" w:color="auto"/>
            </w:tcBorders>
            <w:shd w:val="clear" w:color="auto" w:fill="auto"/>
            <w:noWrap/>
            <w:vAlign w:val="center"/>
            <w:hideMark/>
          </w:tcPr>
          <w:p w14:paraId="1C47198A" w14:textId="77777777" w:rsidR="00B81B8B" w:rsidRPr="00BC6CC3" w:rsidRDefault="00B81B8B" w:rsidP="005F60E3">
            <w:pPr>
              <w:rPr>
                <w:lang w:eastAsia="en-AU"/>
              </w:rPr>
            </w:pPr>
            <w:r w:rsidRPr="00BC6CC3">
              <w:rPr>
                <w:lang w:eastAsia="en-AU"/>
              </w:rPr>
              <w:t>26</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EAB74BC"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688B1AF7"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89822B" w14:textId="77777777" w:rsidR="00B81B8B" w:rsidRPr="00BC6CC3" w:rsidRDefault="00B81B8B" w:rsidP="005F60E3">
            <w:pPr>
              <w:rPr>
                <w:lang w:eastAsia="en-AU"/>
              </w:rPr>
            </w:pPr>
            <w:r w:rsidRPr="00BC6CC3">
              <w:rPr>
                <w:lang w:eastAsia="en-AU"/>
              </w:rPr>
              <w:t xml:space="preserve">Specialist positive behaviour support </w:t>
            </w:r>
          </w:p>
        </w:tc>
        <w:tc>
          <w:tcPr>
            <w:tcW w:w="1701" w:type="dxa"/>
            <w:tcBorders>
              <w:top w:val="nil"/>
              <w:left w:val="nil"/>
              <w:bottom w:val="single" w:sz="4" w:space="0" w:color="auto"/>
              <w:right w:val="single" w:sz="4" w:space="0" w:color="auto"/>
            </w:tcBorders>
            <w:shd w:val="clear" w:color="auto" w:fill="auto"/>
            <w:noWrap/>
            <w:vAlign w:val="center"/>
            <w:hideMark/>
          </w:tcPr>
          <w:p w14:paraId="34537773" w14:textId="77777777" w:rsidR="00B81B8B" w:rsidRPr="00BC6CC3" w:rsidRDefault="00B81B8B" w:rsidP="005F60E3">
            <w:pPr>
              <w:rPr>
                <w:lang w:eastAsia="en-AU"/>
              </w:rPr>
            </w:pPr>
            <w:r w:rsidRPr="00BC6CC3">
              <w:rPr>
                <w:lang w:eastAsia="en-AU"/>
              </w:rPr>
              <w:t>21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011A49BA"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02A5DD29"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B9670FD" w14:textId="77777777" w:rsidR="00B81B8B" w:rsidRPr="00BC6CC3" w:rsidRDefault="00B81B8B" w:rsidP="005F60E3">
            <w:pPr>
              <w:rPr>
                <w:lang w:eastAsia="en-AU"/>
              </w:rPr>
            </w:pPr>
            <w:r w:rsidRPr="00BC6CC3">
              <w:rPr>
                <w:lang w:eastAsia="en-AU"/>
              </w:rPr>
              <w:t>Specialised disability accommodation</w:t>
            </w:r>
          </w:p>
        </w:tc>
        <w:tc>
          <w:tcPr>
            <w:tcW w:w="1701" w:type="dxa"/>
            <w:tcBorders>
              <w:top w:val="nil"/>
              <w:left w:val="nil"/>
              <w:bottom w:val="single" w:sz="4" w:space="0" w:color="auto"/>
              <w:right w:val="single" w:sz="4" w:space="0" w:color="auto"/>
            </w:tcBorders>
            <w:shd w:val="clear" w:color="auto" w:fill="auto"/>
            <w:noWrap/>
            <w:vAlign w:val="center"/>
            <w:hideMark/>
          </w:tcPr>
          <w:p w14:paraId="15797780" w14:textId="77777777" w:rsidR="00B81B8B" w:rsidRPr="00BC6CC3" w:rsidRDefault="00B81B8B" w:rsidP="005F60E3">
            <w:pPr>
              <w:rPr>
                <w:lang w:eastAsia="en-AU"/>
              </w:rPr>
            </w:pPr>
            <w:r w:rsidRPr="00BC6CC3">
              <w:rPr>
                <w:lang w:eastAsia="en-AU"/>
              </w:rPr>
              <w:t>20</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FEA17F4"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2647A638" w14:textId="77777777" w:rsidTr="0012533D">
        <w:trPr>
          <w:trHeight w:val="6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0222891" w14:textId="72DAFB69" w:rsidR="00B81B8B" w:rsidRPr="00BC6CC3" w:rsidRDefault="00B81B8B" w:rsidP="005F60E3">
            <w:pPr>
              <w:rPr>
                <w:lang w:eastAsia="en-AU"/>
              </w:rPr>
            </w:pPr>
            <w:r w:rsidRPr="00BC6CC3">
              <w:rPr>
                <w:lang w:eastAsia="en-AU"/>
              </w:rPr>
              <w:t xml:space="preserve">Assistance to </w:t>
            </w:r>
            <w:r w:rsidR="00694141" w:rsidRPr="00BC6CC3">
              <w:rPr>
                <w:lang w:eastAsia="en-AU"/>
              </w:rPr>
              <w:t xml:space="preserve">access and maintain employment or higher education </w:t>
            </w:r>
          </w:p>
        </w:tc>
        <w:tc>
          <w:tcPr>
            <w:tcW w:w="1701" w:type="dxa"/>
            <w:tcBorders>
              <w:top w:val="nil"/>
              <w:left w:val="nil"/>
              <w:bottom w:val="single" w:sz="4" w:space="0" w:color="auto"/>
              <w:right w:val="single" w:sz="4" w:space="0" w:color="auto"/>
            </w:tcBorders>
            <w:shd w:val="clear" w:color="auto" w:fill="auto"/>
            <w:noWrap/>
            <w:vAlign w:val="center"/>
            <w:hideMark/>
          </w:tcPr>
          <w:p w14:paraId="297AFEC6" w14:textId="77777777" w:rsidR="00B81B8B" w:rsidRPr="00BC6CC3" w:rsidRDefault="00B81B8B" w:rsidP="005F60E3">
            <w:pPr>
              <w:rPr>
                <w:lang w:eastAsia="en-AU"/>
              </w:rPr>
            </w:pPr>
            <w:r w:rsidRPr="00BC6CC3">
              <w:rPr>
                <w:lang w:eastAsia="en-AU"/>
              </w:rPr>
              <w:t>20</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E8CAFF8"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3758A04C"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5C08631" w14:textId="77777777" w:rsidR="00B81B8B" w:rsidRPr="00BC6CC3" w:rsidRDefault="00B81B8B" w:rsidP="005F60E3">
            <w:pPr>
              <w:rPr>
                <w:lang w:eastAsia="en-AU"/>
              </w:rPr>
            </w:pPr>
            <w:r w:rsidRPr="00BC6CC3">
              <w:rPr>
                <w:lang w:eastAsia="en-AU"/>
              </w:rPr>
              <w:t>Specialised supported employment</w:t>
            </w:r>
          </w:p>
        </w:tc>
        <w:tc>
          <w:tcPr>
            <w:tcW w:w="1701" w:type="dxa"/>
            <w:tcBorders>
              <w:top w:val="nil"/>
              <w:left w:val="nil"/>
              <w:bottom w:val="single" w:sz="4" w:space="0" w:color="auto"/>
              <w:right w:val="single" w:sz="4" w:space="0" w:color="auto"/>
            </w:tcBorders>
            <w:shd w:val="clear" w:color="auto" w:fill="auto"/>
            <w:noWrap/>
            <w:vAlign w:val="center"/>
            <w:hideMark/>
          </w:tcPr>
          <w:p w14:paraId="65E8C317" w14:textId="77777777" w:rsidR="00B81B8B" w:rsidRPr="00BC6CC3" w:rsidRDefault="00B81B8B" w:rsidP="005F60E3">
            <w:pPr>
              <w:rPr>
                <w:lang w:eastAsia="en-AU"/>
              </w:rPr>
            </w:pPr>
            <w:r w:rsidRPr="00BC6CC3">
              <w:rPr>
                <w:lang w:eastAsia="en-AU"/>
              </w:rPr>
              <w:t>15</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D913986"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0798246B"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E0A5C8C" w14:textId="4E4020A7" w:rsidR="00B81B8B" w:rsidRPr="00BC6CC3" w:rsidRDefault="00B81B8B" w:rsidP="005F60E3">
            <w:pPr>
              <w:rPr>
                <w:lang w:eastAsia="en-AU"/>
              </w:rPr>
            </w:pPr>
            <w:r w:rsidRPr="00BC6CC3">
              <w:rPr>
                <w:lang w:eastAsia="en-AU"/>
              </w:rPr>
              <w:t xml:space="preserve">Management of </w:t>
            </w:r>
            <w:r w:rsidR="00694141" w:rsidRPr="00BC6CC3">
              <w:rPr>
                <w:lang w:eastAsia="en-AU"/>
              </w:rPr>
              <w:t xml:space="preserve">funding for supports </w:t>
            </w:r>
          </w:p>
        </w:tc>
        <w:tc>
          <w:tcPr>
            <w:tcW w:w="1701" w:type="dxa"/>
            <w:tcBorders>
              <w:top w:val="nil"/>
              <w:left w:val="nil"/>
              <w:bottom w:val="single" w:sz="4" w:space="0" w:color="auto"/>
              <w:right w:val="single" w:sz="4" w:space="0" w:color="auto"/>
            </w:tcBorders>
            <w:shd w:val="clear" w:color="auto" w:fill="auto"/>
            <w:noWrap/>
            <w:vAlign w:val="center"/>
            <w:hideMark/>
          </w:tcPr>
          <w:p w14:paraId="4E8D5800" w14:textId="77777777" w:rsidR="00B81B8B" w:rsidRPr="00BC6CC3" w:rsidRDefault="00B81B8B" w:rsidP="005F60E3">
            <w:pPr>
              <w:rPr>
                <w:lang w:eastAsia="en-AU"/>
              </w:rPr>
            </w:pPr>
            <w:r w:rsidRPr="00BC6CC3">
              <w:rPr>
                <w:lang w:eastAsia="en-AU"/>
              </w:rPr>
              <w:t>15</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1F75DC7B"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6369F980"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2B9C627" w14:textId="77777777" w:rsidR="00B81B8B" w:rsidRPr="00BC6CC3" w:rsidRDefault="00B81B8B" w:rsidP="005F60E3">
            <w:pPr>
              <w:rPr>
                <w:lang w:eastAsia="en-AU"/>
              </w:rPr>
            </w:pPr>
            <w:r w:rsidRPr="00BC6CC3">
              <w:rPr>
                <w:lang w:eastAsia="en-AU"/>
              </w:rPr>
              <w:t xml:space="preserve">Early intervention supports for early childhood </w:t>
            </w:r>
          </w:p>
        </w:tc>
        <w:tc>
          <w:tcPr>
            <w:tcW w:w="1701" w:type="dxa"/>
            <w:tcBorders>
              <w:top w:val="nil"/>
              <w:left w:val="nil"/>
              <w:bottom w:val="single" w:sz="4" w:space="0" w:color="auto"/>
              <w:right w:val="single" w:sz="4" w:space="0" w:color="auto"/>
            </w:tcBorders>
            <w:shd w:val="clear" w:color="auto" w:fill="auto"/>
            <w:noWrap/>
            <w:vAlign w:val="center"/>
            <w:hideMark/>
          </w:tcPr>
          <w:p w14:paraId="5BF3C997" w14:textId="77777777" w:rsidR="00B81B8B" w:rsidRPr="00BC6CC3" w:rsidRDefault="00B81B8B" w:rsidP="005F60E3">
            <w:pPr>
              <w:rPr>
                <w:lang w:eastAsia="en-AU"/>
              </w:rPr>
            </w:pPr>
            <w:r w:rsidRPr="00BC6CC3">
              <w:rPr>
                <w:lang w:eastAsia="en-AU"/>
              </w:rPr>
              <w:t>15</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28996C6" w14:textId="77777777" w:rsidR="00B81B8B" w:rsidRPr="00BC6CC3" w:rsidRDefault="00B81B8B" w:rsidP="005F60E3">
            <w:pPr>
              <w:rPr>
                <w:lang w:eastAsia="en-AU"/>
              </w:rPr>
            </w:pPr>
            <w:r w:rsidRPr="00BC6CC3">
              <w:rPr>
                <w:lang w:eastAsia="en-AU"/>
              </w:rPr>
              <w:t>2</w:t>
            </w:r>
            <w:r w:rsidRPr="00C80580">
              <w:rPr>
                <w:lang w:eastAsia="en-AU"/>
              </w:rPr>
              <w:t xml:space="preserve"> per cent</w:t>
            </w:r>
          </w:p>
        </w:tc>
      </w:tr>
      <w:tr w:rsidR="00B81B8B" w:rsidRPr="00BC6CC3" w14:paraId="387263FA"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3959FF4" w14:textId="77777777" w:rsidR="00B81B8B" w:rsidRPr="00BC6CC3" w:rsidRDefault="00B81B8B" w:rsidP="005F60E3">
            <w:pPr>
              <w:rPr>
                <w:lang w:eastAsia="en-AU"/>
              </w:rPr>
            </w:pPr>
            <w:r w:rsidRPr="00BC6CC3">
              <w:rPr>
                <w:lang w:eastAsia="en-AU"/>
              </w:rPr>
              <w:t>Community nursing care</w:t>
            </w:r>
          </w:p>
        </w:tc>
        <w:tc>
          <w:tcPr>
            <w:tcW w:w="1701" w:type="dxa"/>
            <w:tcBorders>
              <w:top w:val="nil"/>
              <w:left w:val="nil"/>
              <w:bottom w:val="single" w:sz="4" w:space="0" w:color="auto"/>
              <w:right w:val="single" w:sz="4" w:space="0" w:color="auto"/>
            </w:tcBorders>
            <w:shd w:val="clear" w:color="auto" w:fill="auto"/>
            <w:noWrap/>
            <w:vAlign w:val="center"/>
            <w:hideMark/>
          </w:tcPr>
          <w:p w14:paraId="4E264887" w14:textId="77777777" w:rsidR="00B81B8B" w:rsidRPr="00BC6CC3" w:rsidRDefault="00B81B8B" w:rsidP="005F60E3">
            <w:pPr>
              <w:rPr>
                <w:lang w:eastAsia="en-AU"/>
              </w:rPr>
            </w:pPr>
            <w:r w:rsidRPr="00BC6CC3">
              <w:rPr>
                <w:lang w:eastAsia="en-AU"/>
              </w:rPr>
              <w:t>10</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DB94AAC"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07AB6105"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725034" w14:textId="7A86E59D" w:rsidR="00B81B8B" w:rsidRPr="00BC6CC3" w:rsidRDefault="00B81B8B" w:rsidP="005F60E3">
            <w:pPr>
              <w:rPr>
                <w:lang w:eastAsia="en-AU"/>
              </w:rPr>
            </w:pPr>
            <w:r w:rsidRPr="00BC6CC3">
              <w:rPr>
                <w:lang w:eastAsia="en-AU"/>
              </w:rPr>
              <w:t xml:space="preserve">Exercise </w:t>
            </w:r>
            <w:r w:rsidR="00694141" w:rsidRPr="00BC6CC3">
              <w:rPr>
                <w:lang w:eastAsia="en-AU"/>
              </w:rPr>
              <w:t xml:space="preserve">physiology </w:t>
            </w:r>
            <w:r w:rsidR="0012533D">
              <w:rPr>
                <w:lang w:eastAsia="en-AU"/>
              </w:rPr>
              <w:t>and</w:t>
            </w:r>
            <w:r w:rsidR="00694141" w:rsidRPr="00BC6CC3">
              <w:rPr>
                <w:lang w:eastAsia="en-AU"/>
              </w:rPr>
              <w:t xml:space="preserve"> personal well-being activities </w:t>
            </w:r>
          </w:p>
        </w:tc>
        <w:tc>
          <w:tcPr>
            <w:tcW w:w="1701" w:type="dxa"/>
            <w:tcBorders>
              <w:top w:val="nil"/>
              <w:left w:val="nil"/>
              <w:bottom w:val="single" w:sz="4" w:space="0" w:color="auto"/>
              <w:right w:val="single" w:sz="4" w:space="0" w:color="auto"/>
            </w:tcBorders>
            <w:shd w:val="clear" w:color="auto" w:fill="auto"/>
            <w:noWrap/>
            <w:vAlign w:val="center"/>
            <w:hideMark/>
          </w:tcPr>
          <w:p w14:paraId="177BA153" w14:textId="77777777" w:rsidR="00B81B8B" w:rsidRPr="00BC6CC3" w:rsidRDefault="00B81B8B" w:rsidP="005F60E3">
            <w:pPr>
              <w:rPr>
                <w:lang w:eastAsia="en-AU"/>
              </w:rPr>
            </w:pPr>
            <w:r w:rsidRPr="00BC6CC3">
              <w:rPr>
                <w:lang w:eastAsia="en-AU"/>
              </w:rPr>
              <w:t>8</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7CE8BD19"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r>
      <w:tr w:rsidR="00B81B8B" w:rsidRPr="00BC6CC3" w14:paraId="6380D6E8"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4B5B6E3" w14:textId="77777777" w:rsidR="00B81B8B" w:rsidRPr="00BC6CC3" w:rsidRDefault="00B81B8B" w:rsidP="005F60E3">
            <w:pPr>
              <w:rPr>
                <w:lang w:eastAsia="en-AU"/>
              </w:rPr>
            </w:pPr>
            <w:r w:rsidRPr="00BC6CC3">
              <w:rPr>
                <w:lang w:eastAsia="en-AU"/>
              </w:rPr>
              <w:t xml:space="preserve">Communication and information equipment </w:t>
            </w:r>
          </w:p>
        </w:tc>
        <w:tc>
          <w:tcPr>
            <w:tcW w:w="1701" w:type="dxa"/>
            <w:tcBorders>
              <w:top w:val="nil"/>
              <w:left w:val="nil"/>
              <w:bottom w:val="single" w:sz="4" w:space="0" w:color="auto"/>
              <w:right w:val="single" w:sz="4" w:space="0" w:color="auto"/>
            </w:tcBorders>
            <w:shd w:val="clear" w:color="auto" w:fill="auto"/>
            <w:noWrap/>
            <w:vAlign w:val="center"/>
            <w:hideMark/>
          </w:tcPr>
          <w:p w14:paraId="5A35F389" w14:textId="77777777" w:rsidR="00B81B8B" w:rsidRPr="00BC6CC3" w:rsidRDefault="00B81B8B" w:rsidP="005F60E3">
            <w:pPr>
              <w:rPr>
                <w:lang w:eastAsia="en-AU"/>
              </w:rPr>
            </w:pPr>
            <w:r w:rsidRPr="00BC6CC3">
              <w:rPr>
                <w:lang w:eastAsia="en-AU"/>
              </w:rPr>
              <w:t>6</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2CCBD23"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542239DE"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0C17166" w14:textId="77777777" w:rsidR="00B81B8B" w:rsidRPr="00BC6CC3" w:rsidRDefault="00B81B8B" w:rsidP="005F60E3">
            <w:pPr>
              <w:rPr>
                <w:lang w:eastAsia="en-AU"/>
              </w:rPr>
            </w:pPr>
            <w:r w:rsidRPr="00BC6CC3">
              <w:rPr>
                <w:lang w:eastAsia="en-AU"/>
              </w:rPr>
              <w:t xml:space="preserve">Assistive products for personal care and safety </w:t>
            </w:r>
          </w:p>
        </w:tc>
        <w:tc>
          <w:tcPr>
            <w:tcW w:w="1701" w:type="dxa"/>
            <w:tcBorders>
              <w:top w:val="nil"/>
              <w:left w:val="nil"/>
              <w:bottom w:val="single" w:sz="4" w:space="0" w:color="auto"/>
              <w:right w:val="single" w:sz="4" w:space="0" w:color="auto"/>
            </w:tcBorders>
            <w:shd w:val="clear" w:color="auto" w:fill="auto"/>
            <w:noWrap/>
            <w:vAlign w:val="center"/>
            <w:hideMark/>
          </w:tcPr>
          <w:p w14:paraId="78283E34" w14:textId="77777777" w:rsidR="00B81B8B" w:rsidRPr="00BC6CC3" w:rsidRDefault="00B81B8B" w:rsidP="005F60E3">
            <w:pPr>
              <w:rPr>
                <w:lang w:eastAsia="en-AU"/>
              </w:rPr>
            </w:pPr>
            <w:r w:rsidRPr="00BC6CC3">
              <w:rPr>
                <w:lang w:eastAsia="en-AU"/>
              </w:rPr>
              <w:t>6</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AE73D2A"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47BEFA7B"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12C9AC" w14:textId="77777777" w:rsidR="00B81B8B" w:rsidRPr="00BC6CC3" w:rsidRDefault="00B81B8B" w:rsidP="005F60E3">
            <w:pPr>
              <w:rPr>
                <w:lang w:eastAsia="en-AU"/>
              </w:rPr>
            </w:pPr>
            <w:r w:rsidRPr="00BC6CC3">
              <w:rPr>
                <w:lang w:eastAsia="en-AU"/>
              </w:rPr>
              <w:t xml:space="preserve">Assistive products for household tasks </w:t>
            </w:r>
          </w:p>
        </w:tc>
        <w:tc>
          <w:tcPr>
            <w:tcW w:w="1701" w:type="dxa"/>
            <w:tcBorders>
              <w:top w:val="nil"/>
              <w:left w:val="nil"/>
              <w:bottom w:val="single" w:sz="4" w:space="0" w:color="auto"/>
              <w:right w:val="single" w:sz="4" w:space="0" w:color="auto"/>
            </w:tcBorders>
            <w:shd w:val="clear" w:color="auto" w:fill="auto"/>
            <w:noWrap/>
            <w:vAlign w:val="center"/>
            <w:hideMark/>
          </w:tcPr>
          <w:p w14:paraId="2BCFA506" w14:textId="77777777" w:rsidR="00B81B8B" w:rsidRPr="00BC6CC3" w:rsidRDefault="00B81B8B" w:rsidP="005F60E3">
            <w:pPr>
              <w:rPr>
                <w:lang w:eastAsia="en-AU"/>
              </w:rPr>
            </w:pPr>
            <w:r w:rsidRPr="00BC6CC3">
              <w:rPr>
                <w:lang w:eastAsia="en-AU"/>
              </w:rPr>
              <w:t>5</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57FAB357"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45399CE2"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49C0D6A" w14:textId="77777777" w:rsidR="00B81B8B" w:rsidRPr="00BC6CC3" w:rsidRDefault="00B81B8B" w:rsidP="005F60E3">
            <w:pPr>
              <w:rPr>
                <w:lang w:eastAsia="en-AU"/>
              </w:rPr>
            </w:pPr>
            <w:r w:rsidRPr="00BC6CC3">
              <w:rPr>
                <w:lang w:eastAsia="en-AU"/>
              </w:rPr>
              <w:t xml:space="preserve">Personal mobility equipment </w:t>
            </w:r>
          </w:p>
        </w:tc>
        <w:tc>
          <w:tcPr>
            <w:tcW w:w="1701" w:type="dxa"/>
            <w:tcBorders>
              <w:top w:val="nil"/>
              <w:left w:val="nil"/>
              <w:bottom w:val="single" w:sz="4" w:space="0" w:color="auto"/>
              <w:right w:val="single" w:sz="4" w:space="0" w:color="auto"/>
            </w:tcBorders>
            <w:shd w:val="clear" w:color="auto" w:fill="auto"/>
            <w:noWrap/>
            <w:vAlign w:val="center"/>
            <w:hideMark/>
          </w:tcPr>
          <w:p w14:paraId="71BB4EFB" w14:textId="77777777" w:rsidR="00B81B8B" w:rsidRPr="00BC6CC3" w:rsidRDefault="00B81B8B" w:rsidP="005F60E3">
            <w:pPr>
              <w:rPr>
                <w:lang w:eastAsia="en-AU"/>
              </w:rPr>
            </w:pPr>
            <w:r w:rsidRPr="00BC6CC3">
              <w:rPr>
                <w:lang w:eastAsia="en-AU"/>
              </w:rPr>
              <w:t>4</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9D1EB38"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5D782D97"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E446643" w14:textId="77777777" w:rsidR="00B81B8B" w:rsidRPr="00BC6CC3" w:rsidRDefault="00B81B8B" w:rsidP="005F60E3">
            <w:pPr>
              <w:rPr>
                <w:lang w:eastAsia="en-AU"/>
              </w:rPr>
            </w:pPr>
            <w:r w:rsidRPr="00BC6CC3">
              <w:rPr>
                <w:lang w:eastAsia="en-AU"/>
              </w:rPr>
              <w:t>Home modification design and construction</w:t>
            </w:r>
          </w:p>
        </w:tc>
        <w:tc>
          <w:tcPr>
            <w:tcW w:w="1701" w:type="dxa"/>
            <w:tcBorders>
              <w:top w:val="nil"/>
              <w:left w:val="nil"/>
              <w:bottom w:val="single" w:sz="4" w:space="0" w:color="auto"/>
              <w:right w:val="single" w:sz="4" w:space="0" w:color="auto"/>
            </w:tcBorders>
            <w:shd w:val="clear" w:color="auto" w:fill="auto"/>
            <w:noWrap/>
            <w:vAlign w:val="center"/>
            <w:hideMark/>
          </w:tcPr>
          <w:p w14:paraId="31140237" w14:textId="77777777" w:rsidR="00B81B8B" w:rsidRPr="00BC6CC3" w:rsidRDefault="00B81B8B" w:rsidP="005F60E3">
            <w:pPr>
              <w:rPr>
                <w:lang w:eastAsia="en-AU"/>
              </w:rPr>
            </w:pPr>
            <w:r w:rsidRPr="00BC6CC3">
              <w:rPr>
                <w:lang w:eastAsia="en-AU"/>
              </w:rPr>
              <w:t>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7A5C4B4"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08C9AFCC"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79F1E3" w14:textId="77777777" w:rsidR="00B81B8B" w:rsidRPr="00BC6CC3" w:rsidRDefault="00B81B8B" w:rsidP="005F60E3">
            <w:pPr>
              <w:rPr>
                <w:lang w:eastAsia="en-AU"/>
              </w:rPr>
            </w:pPr>
            <w:r w:rsidRPr="00BC6CC3">
              <w:rPr>
                <w:lang w:eastAsia="en-AU"/>
              </w:rPr>
              <w:t>Assistive equipment for recreation</w:t>
            </w:r>
          </w:p>
        </w:tc>
        <w:tc>
          <w:tcPr>
            <w:tcW w:w="1701" w:type="dxa"/>
            <w:tcBorders>
              <w:top w:val="nil"/>
              <w:left w:val="nil"/>
              <w:bottom w:val="single" w:sz="4" w:space="0" w:color="auto"/>
              <w:right w:val="single" w:sz="4" w:space="0" w:color="auto"/>
            </w:tcBorders>
            <w:shd w:val="clear" w:color="auto" w:fill="auto"/>
            <w:noWrap/>
            <w:vAlign w:val="center"/>
            <w:hideMark/>
          </w:tcPr>
          <w:p w14:paraId="6F419137" w14:textId="77777777" w:rsidR="00B81B8B" w:rsidRPr="00BC6CC3" w:rsidRDefault="00B81B8B" w:rsidP="005F60E3">
            <w:pPr>
              <w:rPr>
                <w:lang w:eastAsia="en-AU"/>
              </w:rPr>
            </w:pPr>
            <w:r w:rsidRPr="00BC6CC3">
              <w:rPr>
                <w:lang w:eastAsia="en-AU"/>
              </w:rPr>
              <w:t>3</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416CDF92"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5EEFB104"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C69CAB9" w14:textId="77777777" w:rsidR="00B81B8B" w:rsidRPr="00BC6CC3" w:rsidRDefault="00B81B8B" w:rsidP="005F60E3">
            <w:pPr>
              <w:rPr>
                <w:lang w:eastAsia="en-AU"/>
              </w:rPr>
            </w:pPr>
            <w:r w:rsidRPr="00BC6CC3">
              <w:rPr>
                <w:lang w:eastAsia="en-AU"/>
              </w:rPr>
              <w:t xml:space="preserve">Vision equipment </w:t>
            </w:r>
          </w:p>
        </w:tc>
        <w:tc>
          <w:tcPr>
            <w:tcW w:w="1701" w:type="dxa"/>
            <w:tcBorders>
              <w:top w:val="nil"/>
              <w:left w:val="nil"/>
              <w:bottom w:val="single" w:sz="4" w:space="0" w:color="auto"/>
              <w:right w:val="single" w:sz="4" w:space="0" w:color="auto"/>
            </w:tcBorders>
            <w:shd w:val="clear" w:color="auto" w:fill="auto"/>
            <w:noWrap/>
            <w:vAlign w:val="center"/>
            <w:hideMark/>
          </w:tcPr>
          <w:p w14:paraId="4192FC17"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EDDD2E0"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0B2144F1"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C66D7E5" w14:textId="77777777" w:rsidR="00B81B8B" w:rsidRPr="00BC6CC3" w:rsidRDefault="00B81B8B" w:rsidP="005F60E3">
            <w:pPr>
              <w:rPr>
                <w:lang w:eastAsia="en-AU"/>
              </w:rPr>
            </w:pPr>
            <w:r w:rsidRPr="00BC6CC3">
              <w:rPr>
                <w:lang w:eastAsia="en-AU"/>
              </w:rPr>
              <w:lastRenderedPageBreak/>
              <w:t>Interpreting and translation</w:t>
            </w:r>
          </w:p>
        </w:tc>
        <w:tc>
          <w:tcPr>
            <w:tcW w:w="1701" w:type="dxa"/>
            <w:tcBorders>
              <w:top w:val="nil"/>
              <w:left w:val="nil"/>
              <w:bottom w:val="single" w:sz="4" w:space="0" w:color="auto"/>
              <w:right w:val="single" w:sz="4" w:space="0" w:color="auto"/>
            </w:tcBorders>
            <w:shd w:val="clear" w:color="auto" w:fill="auto"/>
            <w:noWrap/>
            <w:vAlign w:val="center"/>
            <w:hideMark/>
          </w:tcPr>
          <w:p w14:paraId="0075462F"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E123252"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72C0F66C"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65E85AB" w14:textId="77777777" w:rsidR="00B81B8B" w:rsidRPr="00BC6CC3" w:rsidRDefault="00B81B8B" w:rsidP="005F60E3">
            <w:pPr>
              <w:rPr>
                <w:lang w:eastAsia="en-AU"/>
              </w:rPr>
            </w:pPr>
            <w:r w:rsidRPr="00BC6CC3">
              <w:rPr>
                <w:lang w:eastAsia="en-AU"/>
              </w:rPr>
              <w:t>Hearing equipment</w:t>
            </w:r>
          </w:p>
        </w:tc>
        <w:tc>
          <w:tcPr>
            <w:tcW w:w="1701" w:type="dxa"/>
            <w:tcBorders>
              <w:top w:val="nil"/>
              <w:left w:val="nil"/>
              <w:bottom w:val="single" w:sz="4" w:space="0" w:color="auto"/>
              <w:right w:val="single" w:sz="4" w:space="0" w:color="auto"/>
            </w:tcBorders>
            <w:shd w:val="clear" w:color="auto" w:fill="auto"/>
            <w:noWrap/>
            <w:vAlign w:val="center"/>
            <w:hideMark/>
          </w:tcPr>
          <w:p w14:paraId="433A9E1E"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3AD0AE71"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263C5BE8"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FBA711C" w14:textId="77777777" w:rsidR="00B81B8B" w:rsidRPr="00BC6CC3" w:rsidRDefault="00B81B8B" w:rsidP="005F60E3">
            <w:pPr>
              <w:rPr>
                <w:lang w:eastAsia="en-AU"/>
              </w:rPr>
            </w:pPr>
            <w:r w:rsidRPr="00BC6CC3">
              <w:rPr>
                <w:lang w:eastAsia="en-AU"/>
              </w:rPr>
              <w:t>Assistance animals</w:t>
            </w:r>
          </w:p>
        </w:tc>
        <w:tc>
          <w:tcPr>
            <w:tcW w:w="1701" w:type="dxa"/>
            <w:tcBorders>
              <w:top w:val="nil"/>
              <w:left w:val="nil"/>
              <w:bottom w:val="single" w:sz="4" w:space="0" w:color="auto"/>
              <w:right w:val="single" w:sz="4" w:space="0" w:color="auto"/>
            </w:tcBorders>
            <w:shd w:val="clear" w:color="auto" w:fill="auto"/>
            <w:noWrap/>
            <w:vAlign w:val="center"/>
            <w:hideMark/>
          </w:tcPr>
          <w:p w14:paraId="5E924451"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2C53CF16"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2C3EC577"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49E8FBF" w14:textId="77777777" w:rsidR="00B81B8B" w:rsidRPr="00BC6CC3" w:rsidRDefault="00B81B8B" w:rsidP="005F60E3">
            <w:pPr>
              <w:rPr>
                <w:lang w:eastAsia="en-AU"/>
              </w:rPr>
            </w:pPr>
            <w:r w:rsidRPr="00BC6CC3">
              <w:rPr>
                <w:lang w:eastAsia="en-AU"/>
              </w:rPr>
              <w:t>Vehicle modifications</w:t>
            </w:r>
          </w:p>
        </w:tc>
        <w:tc>
          <w:tcPr>
            <w:tcW w:w="1701" w:type="dxa"/>
            <w:tcBorders>
              <w:top w:val="nil"/>
              <w:left w:val="nil"/>
              <w:bottom w:val="single" w:sz="4" w:space="0" w:color="auto"/>
              <w:right w:val="single" w:sz="4" w:space="0" w:color="auto"/>
            </w:tcBorders>
            <w:shd w:val="clear" w:color="auto" w:fill="auto"/>
            <w:noWrap/>
            <w:vAlign w:val="center"/>
            <w:hideMark/>
          </w:tcPr>
          <w:p w14:paraId="01FD82A2"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75893838"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017D2C5D"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F2A4037" w14:textId="77777777" w:rsidR="00B81B8B" w:rsidRPr="00BC6CC3" w:rsidRDefault="00B81B8B" w:rsidP="005F60E3">
            <w:pPr>
              <w:rPr>
                <w:lang w:eastAsia="en-AU"/>
              </w:rPr>
            </w:pPr>
            <w:r w:rsidRPr="00BC6CC3">
              <w:rPr>
                <w:lang w:eastAsia="en-AU"/>
              </w:rPr>
              <w:t>Specialised driver training</w:t>
            </w:r>
          </w:p>
        </w:tc>
        <w:tc>
          <w:tcPr>
            <w:tcW w:w="1701" w:type="dxa"/>
            <w:tcBorders>
              <w:top w:val="nil"/>
              <w:left w:val="nil"/>
              <w:bottom w:val="single" w:sz="4" w:space="0" w:color="auto"/>
              <w:right w:val="single" w:sz="4" w:space="0" w:color="auto"/>
            </w:tcBorders>
            <w:shd w:val="clear" w:color="auto" w:fill="auto"/>
            <w:noWrap/>
            <w:vAlign w:val="center"/>
            <w:hideMark/>
          </w:tcPr>
          <w:p w14:paraId="12EE83F5"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6348F8C9"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550422F1"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1B8A22" w14:textId="5000B348" w:rsidR="00B81B8B" w:rsidRPr="00BC6CC3" w:rsidRDefault="00B81B8B" w:rsidP="005F60E3">
            <w:pPr>
              <w:rPr>
                <w:lang w:eastAsia="en-AU"/>
              </w:rPr>
            </w:pPr>
            <w:r w:rsidRPr="00BC6CC3">
              <w:rPr>
                <w:lang w:eastAsia="en-AU"/>
              </w:rPr>
              <w:t xml:space="preserve">Customised </w:t>
            </w:r>
            <w:r w:rsidR="0012533D" w:rsidRPr="00BC6CC3">
              <w:rPr>
                <w:lang w:eastAsia="en-AU"/>
              </w:rPr>
              <w:t>prosthetics (includes orthotics</w:t>
            </w:r>
            <w:r w:rsidRPr="00BC6CC3">
              <w:rPr>
                <w:lang w:eastAsia="en-AU"/>
              </w:rPr>
              <w:t>)</w:t>
            </w:r>
          </w:p>
        </w:tc>
        <w:tc>
          <w:tcPr>
            <w:tcW w:w="1701" w:type="dxa"/>
            <w:tcBorders>
              <w:top w:val="nil"/>
              <w:left w:val="nil"/>
              <w:bottom w:val="single" w:sz="4" w:space="0" w:color="auto"/>
              <w:right w:val="single" w:sz="4" w:space="0" w:color="auto"/>
            </w:tcBorders>
            <w:shd w:val="clear" w:color="auto" w:fill="auto"/>
            <w:noWrap/>
            <w:vAlign w:val="center"/>
            <w:hideMark/>
          </w:tcPr>
          <w:p w14:paraId="4D8F037B" w14:textId="77777777" w:rsidR="00B81B8B" w:rsidRPr="00BC6CC3" w:rsidRDefault="00B81B8B" w:rsidP="005F60E3">
            <w:pPr>
              <w:rPr>
                <w:lang w:eastAsia="en-AU"/>
              </w:rPr>
            </w:pPr>
            <w:r w:rsidRPr="00BC6CC3">
              <w:rPr>
                <w:lang w:eastAsia="en-AU"/>
              </w:rPr>
              <w:t>1</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028575C8"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552467C8"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ABD549E" w14:textId="77777777" w:rsidR="00B81B8B" w:rsidRPr="00BC6CC3" w:rsidRDefault="00B81B8B" w:rsidP="005F60E3">
            <w:pPr>
              <w:rPr>
                <w:lang w:eastAsia="en-AU"/>
              </w:rPr>
            </w:pPr>
            <w:r w:rsidRPr="00BC6CC3">
              <w:rPr>
                <w:lang w:eastAsia="en-AU"/>
              </w:rPr>
              <w:t>Specialised hearing services</w:t>
            </w:r>
          </w:p>
        </w:tc>
        <w:tc>
          <w:tcPr>
            <w:tcW w:w="1701" w:type="dxa"/>
            <w:tcBorders>
              <w:top w:val="nil"/>
              <w:left w:val="nil"/>
              <w:bottom w:val="single" w:sz="4" w:space="0" w:color="auto"/>
              <w:right w:val="single" w:sz="4" w:space="0" w:color="auto"/>
            </w:tcBorders>
            <w:shd w:val="clear" w:color="auto" w:fill="auto"/>
            <w:noWrap/>
            <w:vAlign w:val="center"/>
            <w:hideMark/>
          </w:tcPr>
          <w:p w14:paraId="6C63EC71"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507289FC"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r w:rsidR="00B81B8B" w:rsidRPr="00BC6CC3" w14:paraId="69BDE8F5" w14:textId="77777777" w:rsidTr="0012533D">
        <w:trPr>
          <w:trHeight w:val="300"/>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AE3853" w14:textId="77777777" w:rsidR="00B81B8B" w:rsidRPr="00BC6CC3" w:rsidRDefault="00B81B8B" w:rsidP="005F60E3">
            <w:pPr>
              <w:rPr>
                <w:lang w:eastAsia="en-AU"/>
              </w:rPr>
            </w:pPr>
            <w:r w:rsidRPr="00BC6CC3">
              <w:rPr>
                <w:lang w:eastAsia="en-AU"/>
              </w:rPr>
              <w:t>Hearing services</w:t>
            </w:r>
          </w:p>
        </w:tc>
        <w:tc>
          <w:tcPr>
            <w:tcW w:w="1701" w:type="dxa"/>
            <w:tcBorders>
              <w:top w:val="nil"/>
              <w:left w:val="nil"/>
              <w:bottom w:val="single" w:sz="4" w:space="0" w:color="auto"/>
              <w:right w:val="single" w:sz="4" w:space="0" w:color="auto"/>
            </w:tcBorders>
            <w:shd w:val="clear" w:color="auto" w:fill="auto"/>
            <w:noWrap/>
            <w:vAlign w:val="center"/>
            <w:hideMark/>
          </w:tcPr>
          <w:p w14:paraId="66B3ABBB"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c>
          <w:tcPr>
            <w:tcW w:w="1842" w:type="dxa"/>
            <w:tcBorders>
              <w:top w:val="nil"/>
              <w:left w:val="nil"/>
              <w:bottom w:val="single" w:sz="4" w:space="0" w:color="auto"/>
              <w:right w:val="single" w:sz="4" w:space="0" w:color="auto"/>
            </w:tcBorders>
            <w:shd w:val="clear" w:color="auto" w:fill="auto"/>
            <w:noWrap/>
            <w:vAlign w:val="center"/>
            <w:hideMark/>
          </w:tcPr>
          <w:p w14:paraId="15D00E36" w14:textId="77777777" w:rsidR="00B81B8B" w:rsidRPr="00BC6CC3" w:rsidRDefault="00B81B8B" w:rsidP="005F60E3">
            <w:pPr>
              <w:rPr>
                <w:lang w:eastAsia="en-AU"/>
              </w:rPr>
            </w:pPr>
            <w:r w:rsidRPr="00BC6CC3">
              <w:rPr>
                <w:lang w:eastAsia="en-AU"/>
              </w:rPr>
              <w:t>0</w:t>
            </w:r>
            <w:r w:rsidRPr="00C80580">
              <w:rPr>
                <w:lang w:eastAsia="en-AU"/>
              </w:rPr>
              <w:t xml:space="preserve"> per cent</w:t>
            </w:r>
          </w:p>
        </w:tc>
      </w:tr>
    </w:tbl>
    <w:p w14:paraId="7EE486CB" w14:textId="77777777" w:rsidR="00B021DF" w:rsidRPr="00620176" w:rsidRDefault="00B021DF" w:rsidP="00B81B8B">
      <w:pPr>
        <w:pStyle w:val="Heading3"/>
        <w:spacing w:before="360"/>
      </w:pPr>
      <w:r>
        <w:t>Inability to provide services</w:t>
      </w:r>
    </w:p>
    <w:p w14:paraId="540B1FC3" w14:textId="56203626" w:rsidR="004316F3" w:rsidRDefault="00B021DF" w:rsidP="0097062A">
      <w:r>
        <w:t xml:space="preserve">Eighty-one per cent of respondents indicated that they have had requests for services that they cannot provide, </w:t>
      </w:r>
      <w:proofErr w:type="gramStart"/>
      <w:r>
        <w:t>similar to</w:t>
      </w:r>
      <w:proofErr w:type="gramEnd"/>
      <w:r>
        <w:t xml:space="preserve"> last year</w:t>
      </w:r>
      <w:r w:rsidR="00031852" w:rsidRPr="007B3F2D">
        <w:t xml:space="preserve"> </w:t>
      </w:r>
      <w:r w:rsidR="00031852">
        <w:t xml:space="preserve">(see </w:t>
      </w:r>
      <w:r w:rsidR="00031852">
        <w:fldChar w:fldCharType="begin"/>
      </w:r>
      <w:r w:rsidR="00031852">
        <w:instrText xml:space="preserve"> REF _Ref183700247 \h </w:instrText>
      </w:r>
      <w:r w:rsidR="00031852">
        <w:fldChar w:fldCharType="separate"/>
      </w:r>
      <w:r w:rsidR="009D342F">
        <w:t>Table </w:t>
      </w:r>
      <w:r w:rsidR="00031852">
        <w:rPr>
          <w:noProof/>
        </w:rPr>
        <w:t>13</w:t>
      </w:r>
      <w:r w:rsidR="00031852">
        <w:fldChar w:fldCharType="end"/>
      </w:r>
      <w:r w:rsidR="00031852">
        <w:t>)</w:t>
      </w:r>
      <w:r>
        <w:t>. This has increased from 69 per cent since 2018.</w:t>
      </w:r>
    </w:p>
    <w:p w14:paraId="7A3744AA" w14:textId="1DAA11DD" w:rsidR="00B50CFF" w:rsidRDefault="009D342F" w:rsidP="005366DB">
      <w:pPr>
        <w:pStyle w:val="Caption"/>
      </w:pPr>
      <w:bookmarkStart w:id="41" w:name="_Ref183700247"/>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13</w:t>
      </w:r>
      <w:r w:rsidR="0007250B" w:rsidRPr="001A77F7">
        <w:rPr>
          <w:b/>
          <w:bCs/>
          <w:noProof/>
        </w:rPr>
        <w:fldChar w:fldCharType="end"/>
      </w:r>
      <w:bookmarkEnd w:id="41"/>
      <w:r w:rsidR="00B50CFF" w:rsidRPr="00BE6F98">
        <w:t xml:space="preserve"> </w:t>
      </w:r>
      <w:r w:rsidR="00B50CFF" w:rsidRPr="009F202C">
        <w:t>Requests for disability services that respondents were unable to provide</w:t>
      </w:r>
    </w:p>
    <w:tbl>
      <w:tblPr>
        <w:tblW w:w="3114" w:type="dxa"/>
        <w:tblLook w:val="04A0" w:firstRow="1" w:lastRow="0" w:firstColumn="1" w:lastColumn="0" w:noHBand="0" w:noVBand="1"/>
        <w:tblCaption w:val="Table 13 Requests for disability services that respondents were unable to provide"/>
        <w:tblDescription w:val="A table showing the requests for disability services that respondents were unable to provide in 2024."/>
      </w:tblPr>
      <w:tblGrid>
        <w:gridCol w:w="1500"/>
        <w:gridCol w:w="1614"/>
      </w:tblGrid>
      <w:tr w:rsidR="00B81B8B" w:rsidRPr="0012533D" w14:paraId="4C322A97" w14:textId="77777777" w:rsidTr="0012533D">
        <w:trPr>
          <w:trHeight w:val="307"/>
          <w:tblHeader/>
        </w:trPr>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8F74E6" w14:textId="77777777" w:rsidR="00B81B8B" w:rsidRPr="0012533D" w:rsidRDefault="00B81B8B" w:rsidP="0012533D">
            <w:pPr>
              <w:rPr>
                <w:b/>
                <w:bCs/>
                <w:lang w:eastAsia="en-AU"/>
              </w:rPr>
            </w:pPr>
            <w:bookmarkStart w:id="42" w:name="Title_Table_13"/>
            <w:bookmarkEnd w:id="42"/>
            <w:r w:rsidRPr="0012533D">
              <w:rPr>
                <w:b/>
                <w:bCs/>
                <w:lang w:eastAsia="en-AU"/>
              </w:rPr>
              <w:t>Response</w:t>
            </w:r>
          </w:p>
        </w:tc>
        <w:tc>
          <w:tcPr>
            <w:tcW w:w="16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844403" w14:textId="77777777" w:rsidR="00B81B8B" w:rsidRPr="0012533D" w:rsidRDefault="00B81B8B" w:rsidP="0012533D">
            <w:pPr>
              <w:rPr>
                <w:b/>
                <w:bCs/>
                <w:lang w:eastAsia="en-AU"/>
              </w:rPr>
            </w:pPr>
            <w:r w:rsidRPr="0012533D">
              <w:rPr>
                <w:b/>
                <w:bCs/>
                <w:lang w:eastAsia="en-AU"/>
              </w:rPr>
              <w:t>2024</w:t>
            </w:r>
          </w:p>
        </w:tc>
      </w:tr>
      <w:tr w:rsidR="00B81B8B" w:rsidRPr="00A1193C" w14:paraId="680FCAE0" w14:textId="77777777" w:rsidTr="0012533D">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B98B44E" w14:textId="77777777" w:rsidR="00B81B8B" w:rsidRPr="00A1193C" w:rsidRDefault="00B81B8B" w:rsidP="000552EE">
            <w:pPr>
              <w:rPr>
                <w:lang w:eastAsia="en-AU"/>
              </w:rPr>
            </w:pPr>
            <w:r w:rsidRPr="00A1193C">
              <w:rPr>
                <w:lang w:eastAsia="en-AU"/>
              </w:rPr>
              <w:t>Yes</w:t>
            </w:r>
          </w:p>
        </w:tc>
        <w:tc>
          <w:tcPr>
            <w:tcW w:w="1614" w:type="dxa"/>
            <w:tcBorders>
              <w:top w:val="nil"/>
              <w:left w:val="nil"/>
              <w:bottom w:val="single" w:sz="4" w:space="0" w:color="auto"/>
              <w:right w:val="single" w:sz="4" w:space="0" w:color="auto"/>
            </w:tcBorders>
            <w:shd w:val="clear" w:color="auto" w:fill="auto"/>
            <w:noWrap/>
            <w:vAlign w:val="bottom"/>
            <w:hideMark/>
          </w:tcPr>
          <w:p w14:paraId="6C49D8D1" w14:textId="77777777" w:rsidR="00B81B8B" w:rsidRPr="00A1193C" w:rsidRDefault="00B81B8B" w:rsidP="000552EE">
            <w:pPr>
              <w:rPr>
                <w:lang w:eastAsia="en-AU"/>
              </w:rPr>
            </w:pPr>
            <w:r w:rsidRPr="00A1193C">
              <w:rPr>
                <w:lang w:eastAsia="en-AU"/>
              </w:rPr>
              <w:t>81</w:t>
            </w:r>
            <w:r>
              <w:rPr>
                <w:lang w:eastAsia="en-AU"/>
              </w:rPr>
              <w:t xml:space="preserve"> per cent</w:t>
            </w:r>
          </w:p>
        </w:tc>
      </w:tr>
      <w:tr w:rsidR="00B81B8B" w:rsidRPr="00A1193C" w14:paraId="68DA8229" w14:textId="77777777" w:rsidTr="0012533D">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0E6E471" w14:textId="77777777" w:rsidR="00B81B8B" w:rsidRPr="00A1193C" w:rsidRDefault="00B81B8B" w:rsidP="000552EE">
            <w:pPr>
              <w:rPr>
                <w:lang w:eastAsia="en-AU"/>
              </w:rPr>
            </w:pPr>
            <w:r w:rsidRPr="00A1193C">
              <w:rPr>
                <w:lang w:eastAsia="en-AU"/>
              </w:rPr>
              <w:t>No</w:t>
            </w:r>
          </w:p>
        </w:tc>
        <w:tc>
          <w:tcPr>
            <w:tcW w:w="1614" w:type="dxa"/>
            <w:tcBorders>
              <w:top w:val="nil"/>
              <w:left w:val="nil"/>
              <w:bottom w:val="single" w:sz="4" w:space="0" w:color="auto"/>
              <w:right w:val="single" w:sz="4" w:space="0" w:color="auto"/>
            </w:tcBorders>
            <w:shd w:val="clear" w:color="auto" w:fill="auto"/>
            <w:noWrap/>
            <w:vAlign w:val="bottom"/>
            <w:hideMark/>
          </w:tcPr>
          <w:p w14:paraId="74D6A08F" w14:textId="77777777" w:rsidR="00B81B8B" w:rsidRPr="00A1193C" w:rsidRDefault="00B81B8B" w:rsidP="000552EE">
            <w:pPr>
              <w:rPr>
                <w:lang w:eastAsia="en-AU"/>
              </w:rPr>
            </w:pPr>
            <w:r w:rsidRPr="00A1193C">
              <w:rPr>
                <w:lang w:eastAsia="en-AU"/>
              </w:rPr>
              <w:t>19</w:t>
            </w:r>
            <w:r>
              <w:rPr>
                <w:lang w:eastAsia="en-AU"/>
              </w:rPr>
              <w:t xml:space="preserve"> per cent</w:t>
            </w:r>
          </w:p>
        </w:tc>
      </w:tr>
    </w:tbl>
    <w:p w14:paraId="0E93E50A" w14:textId="77777777" w:rsidR="004316F3" w:rsidRDefault="7EFE1367" w:rsidP="00B81B8B">
      <w:pPr>
        <w:pStyle w:val="NormalFirstAfterTable"/>
      </w:pPr>
      <w:r>
        <w:t>Reasons for not being able to provide services include</w:t>
      </w:r>
      <w:r w:rsidR="0767E3FE">
        <w:t>d</w:t>
      </w:r>
      <w:r>
        <w:t xml:space="preserve"> the client’s plan not covering the requested service (67 per cent), not having capacity (62 per cent), not offering the services (48 per cent), client needs being too complex (39 per cent), the client living too far away for home-based services due to travel time (24 per cent), and client difficulty accessing a service due to distance and transportation (18 per cent).</w:t>
      </w:r>
    </w:p>
    <w:p w14:paraId="2B509AC6" w14:textId="49CE68B6" w:rsidR="00B021DF" w:rsidRPr="00620176" w:rsidRDefault="00B021DF" w:rsidP="0097062A">
      <w:r>
        <w:t xml:space="preserve">Of those organisations who reported capacity issues, key barriers included not having enough staff (89 per cent), not having appropriately qualified staff (46 per </w:t>
      </w:r>
      <w:r>
        <w:lastRenderedPageBreak/>
        <w:t>cent), lacking access to financial capital (to improve or expand services) (39 per cent), and lacking organisational capacity (30 per cent).</w:t>
      </w:r>
    </w:p>
    <w:p w14:paraId="4E4E69AF" w14:textId="77777777" w:rsidR="00B021DF" w:rsidRPr="00620176" w:rsidRDefault="00B021DF" w:rsidP="0097062A">
      <w:pPr>
        <w:pStyle w:val="Heading3"/>
      </w:pPr>
      <w:r>
        <w:t>Client complexity</w:t>
      </w:r>
    </w:p>
    <w:p w14:paraId="31392A8E" w14:textId="5B07BC41" w:rsidR="00B021DF" w:rsidRPr="00620176" w:rsidRDefault="00B021DF" w:rsidP="0097062A">
      <w:r>
        <w:t>This year, we asked respondents to tell us more so that we could better understand the type of issues being experienced regarding client complexity. In their open text responses, respondents commonly raised concerns about funding not being available to meet clients’ needs, organisations not being equipped to support high needs clients, and the behaviours of clients being too complex:</w:t>
      </w:r>
    </w:p>
    <w:p w14:paraId="7922441A" w14:textId="77777777" w:rsidR="00B021DF" w:rsidRPr="00620176" w:rsidRDefault="00B021DF" w:rsidP="006E2897">
      <w:pPr>
        <w:pStyle w:val="Quote"/>
      </w:pPr>
      <w:r w:rsidRPr="6AFE3E62">
        <w:t>“Funding was not adequate to support the clients’ needs.”</w:t>
      </w:r>
    </w:p>
    <w:p w14:paraId="329B9454" w14:textId="77777777" w:rsidR="00B021DF" w:rsidRPr="00620176" w:rsidRDefault="00B021DF" w:rsidP="006E2897">
      <w:pPr>
        <w:pStyle w:val="QuoteAuthor"/>
      </w:pPr>
      <w:r w:rsidRPr="00620176">
        <w:t>NSW medium not-for-profit</w:t>
      </w:r>
    </w:p>
    <w:p w14:paraId="3DC25FF9" w14:textId="77777777" w:rsidR="00B021DF" w:rsidRPr="00620176" w:rsidRDefault="00B021DF" w:rsidP="006E2897">
      <w:pPr>
        <w:pStyle w:val="Quote"/>
      </w:pPr>
      <w:r w:rsidRPr="13A8D113">
        <w:t>“NDIS funding not appropriate to provide adequate supports to clients.”</w:t>
      </w:r>
    </w:p>
    <w:p w14:paraId="6D2F1A41" w14:textId="77777777" w:rsidR="004316F3" w:rsidRDefault="00B021DF" w:rsidP="006E2897">
      <w:pPr>
        <w:pStyle w:val="QuoteAuthor"/>
      </w:pPr>
      <w:r w:rsidRPr="00620176">
        <w:t>SA small not-for-profit</w:t>
      </w:r>
    </w:p>
    <w:p w14:paraId="7CB68D53" w14:textId="17A34231" w:rsidR="00B021DF" w:rsidRPr="00620176" w:rsidRDefault="00B021DF" w:rsidP="006E2897">
      <w:pPr>
        <w:pStyle w:val="Quote"/>
      </w:pPr>
      <w:r w:rsidRPr="13A8D113">
        <w:t xml:space="preserve">“Behaviours and higher intensity </w:t>
      </w:r>
      <w:proofErr w:type="gramStart"/>
      <w:r w:rsidRPr="2EC3033C">
        <w:t>supports</w:t>
      </w:r>
      <w:proofErr w:type="gramEnd"/>
      <w:r w:rsidRPr="2EC3033C">
        <w:t xml:space="preserve"> </w:t>
      </w:r>
      <w:r w:rsidRPr="2EC3033C">
        <w:rPr>
          <w:rFonts w:ascii="Segoe UI Symbol" w:eastAsia="Segoe UI Symbol" w:hAnsi="Segoe UI Symbol" w:cs="Segoe UI Symbol"/>
          <w:color w:val="000000" w:themeColor="text1"/>
          <w:lang w:val="en-US"/>
        </w:rPr>
        <w:t>⏤</w:t>
      </w:r>
      <w:r w:rsidRPr="2EC3033C">
        <w:t xml:space="preserve"> we</w:t>
      </w:r>
      <w:r w:rsidRPr="13A8D113">
        <w:t xml:space="preserve"> do not have enough trained staff to cater for these needs.”</w:t>
      </w:r>
    </w:p>
    <w:p w14:paraId="02589E7F" w14:textId="0E32970D" w:rsidR="00B021DF" w:rsidRPr="00620176" w:rsidRDefault="00B021DF" w:rsidP="006E2897">
      <w:pPr>
        <w:pStyle w:val="QuoteAuthor"/>
      </w:pPr>
      <w:r w:rsidRPr="6766CE18">
        <w:t>Q</w:t>
      </w:r>
      <w:r w:rsidR="00A05892" w:rsidRPr="6766CE18">
        <w:t>ld</w:t>
      </w:r>
      <w:r w:rsidRPr="00620176">
        <w:t xml:space="preserve"> small for-profit</w:t>
      </w:r>
    </w:p>
    <w:p w14:paraId="4E8279EC" w14:textId="77777777" w:rsidR="00B021DF" w:rsidRPr="00620176" w:rsidRDefault="00B021DF" w:rsidP="006E2897">
      <w:pPr>
        <w:pStyle w:val="Quote"/>
      </w:pPr>
      <w:r w:rsidRPr="497D5C1D">
        <w:t>“Increasing number of enquiries from high support clients which is not our service model.”</w:t>
      </w:r>
    </w:p>
    <w:p w14:paraId="36A1EE28" w14:textId="77777777" w:rsidR="004316F3" w:rsidRDefault="00B021DF" w:rsidP="006E2897">
      <w:pPr>
        <w:pStyle w:val="QuoteAuthor"/>
      </w:pPr>
      <w:r w:rsidRPr="00620176">
        <w:t>NSW small not-for-profit</w:t>
      </w:r>
    </w:p>
    <w:p w14:paraId="26705811" w14:textId="430F2241" w:rsidR="00B021DF" w:rsidRPr="00620176" w:rsidRDefault="00B021DF" w:rsidP="006E2897">
      <w:pPr>
        <w:pStyle w:val="Quote"/>
      </w:pPr>
      <w:r w:rsidRPr="497D5C1D">
        <w:t>“In some cases, the client behaviours have been too challenging for our staff to manage without large safety risks.”</w:t>
      </w:r>
    </w:p>
    <w:p w14:paraId="3FAF91C3" w14:textId="77777777" w:rsidR="004316F3" w:rsidRDefault="00B021DF" w:rsidP="006E2897">
      <w:pPr>
        <w:pStyle w:val="QuoteAuthor"/>
      </w:pPr>
      <w:r w:rsidRPr="00620176">
        <w:t>NSW medium not-for-profit</w:t>
      </w:r>
    </w:p>
    <w:p w14:paraId="3BC4CC4C" w14:textId="7D3A4680" w:rsidR="00B021DF" w:rsidRPr="00620176" w:rsidRDefault="00B021DF" w:rsidP="006E2897">
      <w:pPr>
        <w:pStyle w:val="Quote"/>
      </w:pPr>
      <w:r w:rsidRPr="482AD4B3">
        <w:t>“Behaviour support needs too complex.”</w:t>
      </w:r>
    </w:p>
    <w:p w14:paraId="078DF60A" w14:textId="77777777" w:rsidR="004316F3" w:rsidRDefault="00B021DF" w:rsidP="006E2897">
      <w:pPr>
        <w:pStyle w:val="QuoteAuthor"/>
      </w:pPr>
      <w:r w:rsidRPr="00620176">
        <w:t>SA medium not-for-profit</w:t>
      </w:r>
    </w:p>
    <w:p w14:paraId="4AF11599" w14:textId="4D77CA05" w:rsidR="00B021DF" w:rsidRPr="00E21061" w:rsidRDefault="00B021DF" w:rsidP="0097062A">
      <w:pPr>
        <w:rPr>
          <w:rFonts w:eastAsiaTheme="minorEastAsia"/>
        </w:rPr>
      </w:pPr>
      <w:r>
        <w:t>In free-text responses to our question about strategies that organisations find helpful in working with client complexity, respondents frequently raised developing staff skills through training as a helpful strategy:</w:t>
      </w:r>
    </w:p>
    <w:p w14:paraId="1DD67829" w14:textId="77777777" w:rsidR="00B021DF" w:rsidRPr="00E21061" w:rsidRDefault="00B021DF" w:rsidP="006E2897">
      <w:pPr>
        <w:pStyle w:val="Quote"/>
      </w:pPr>
      <w:r w:rsidRPr="00E21061">
        <w:lastRenderedPageBreak/>
        <w:t>“We have developed our own training for support workers.”</w:t>
      </w:r>
    </w:p>
    <w:p w14:paraId="52D125FB" w14:textId="77777777" w:rsidR="004316F3" w:rsidRDefault="00B021DF" w:rsidP="006E2897">
      <w:pPr>
        <w:pStyle w:val="QuoteAuthor"/>
      </w:pPr>
      <w:r w:rsidRPr="00E21061">
        <w:t>NSW small not-for-profit</w:t>
      </w:r>
    </w:p>
    <w:p w14:paraId="428F704A" w14:textId="6C249766" w:rsidR="00B021DF" w:rsidRPr="00E21061" w:rsidRDefault="00B021DF" w:rsidP="006E2897">
      <w:pPr>
        <w:pStyle w:val="Quote"/>
      </w:pPr>
      <w:r w:rsidRPr="00E21061">
        <w:t>“Purchasing appropriate training.”</w:t>
      </w:r>
    </w:p>
    <w:p w14:paraId="036601ED" w14:textId="77777777" w:rsidR="004316F3" w:rsidRDefault="00B021DF" w:rsidP="006E2897">
      <w:pPr>
        <w:pStyle w:val="QuoteAuthor"/>
      </w:pPr>
      <w:r w:rsidRPr="00E21061">
        <w:t>WA small not-for-profit</w:t>
      </w:r>
    </w:p>
    <w:p w14:paraId="11BC9B3B" w14:textId="3CAAE6D3" w:rsidR="00B021DF" w:rsidRPr="00E21061" w:rsidRDefault="00B021DF" w:rsidP="006E2897">
      <w:pPr>
        <w:pStyle w:val="Quote"/>
      </w:pPr>
      <w:r w:rsidRPr="00E21061">
        <w:t>“Staff training and training through debriefing.”</w:t>
      </w:r>
    </w:p>
    <w:p w14:paraId="5AF57079" w14:textId="77777777" w:rsidR="004316F3" w:rsidRDefault="00B021DF" w:rsidP="006E2897">
      <w:pPr>
        <w:pStyle w:val="QuoteAuthor"/>
      </w:pPr>
      <w:r w:rsidRPr="00E21061">
        <w:t>WA large not-for-profit</w:t>
      </w:r>
    </w:p>
    <w:p w14:paraId="51C12D3F" w14:textId="7B648955" w:rsidR="00B021DF" w:rsidRPr="00E21061" w:rsidRDefault="00B021DF" w:rsidP="006E2897">
      <w:pPr>
        <w:pStyle w:val="Quote"/>
      </w:pPr>
      <w:r w:rsidRPr="00E21061">
        <w:t>“Frequent training and prompts to DSWs.”</w:t>
      </w:r>
    </w:p>
    <w:p w14:paraId="3DA8FC0F" w14:textId="77777777" w:rsidR="004316F3" w:rsidRDefault="00B021DF" w:rsidP="006E2897">
      <w:pPr>
        <w:pStyle w:val="QuoteAuthor"/>
      </w:pPr>
      <w:r w:rsidRPr="00E21061">
        <w:t>NT medium not-for-profit</w:t>
      </w:r>
    </w:p>
    <w:p w14:paraId="59944121" w14:textId="77777777" w:rsidR="004316F3" w:rsidRDefault="00B021DF" w:rsidP="0097062A">
      <w:r w:rsidRPr="00E21061">
        <w:t>Respondents often reported collaborating and developing professional relationships with stakeholders as helpful when working with client complexity:</w:t>
      </w:r>
    </w:p>
    <w:p w14:paraId="47E5EC9D" w14:textId="16DA8E5D" w:rsidR="00B021DF" w:rsidRPr="00E21061" w:rsidRDefault="00B021DF" w:rsidP="006E2897">
      <w:pPr>
        <w:pStyle w:val="Quote"/>
      </w:pPr>
      <w:r w:rsidRPr="00E21061">
        <w:t>“Collaboration with other service providers and the participant stakeholders.”</w:t>
      </w:r>
    </w:p>
    <w:p w14:paraId="5C5A67FF" w14:textId="77777777" w:rsidR="004316F3" w:rsidRDefault="00B021DF" w:rsidP="006E2897">
      <w:pPr>
        <w:pStyle w:val="QuoteAuthor"/>
      </w:pPr>
      <w:r w:rsidRPr="6766CE18">
        <w:t>Q</w:t>
      </w:r>
      <w:r w:rsidR="00AD0A08" w:rsidRPr="6766CE18">
        <w:t>ld</w:t>
      </w:r>
      <w:r w:rsidRPr="00E21061">
        <w:t xml:space="preserve"> small not-for-profit</w:t>
      </w:r>
    </w:p>
    <w:p w14:paraId="4749D8B5" w14:textId="2793636F" w:rsidR="00B021DF" w:rsidRPr="00E21061" w:rsidRDefault="00B021DF" w:rsidP="006E2897">
      <w:pPr>
        <w:pStyle w:val="Quote"/>
      </w:pPr>
      <w:r w:rsidRPr="00E21061">
        <w:t>“Collaboration with families and other providers.”</w:t>
      </w:r>
    </w:p>
    <w:p w14:paraId="2F395925" w14:textId="77777777" w:rsidR="004316F3" w:rsidRDefault="00B021DF" w:rsidP="006E2897">
      <w:pPr>
        <w:pStyle w:val="QuoteAuthor"/>
      </w:pPr>
      <w:r w:rsidRPr="00E21061">
        <w:t>WA small not-for-profit</w:t>
      </w:r>
    </w:p>
    <w:p w14:paraId="088B4FF2" w14:textId="13549734" w:rsidR="00B021DF" w:rsidRPr="00E21061" w:rsidRDefault="00B021DF" w:rsidP="006E2897">
      <w:pPr>
        <w:pStyle w:val="Quote"/>
      </w:pPr>
      <w:r w:rsidRPr="00E21061">
        <w:t>“Respectful relationships with allied health professionals.”</w:t>
      </w:r>
    </w:p>
    <w:p w14:paraId="7924E001" w14:textId="77777777" w:rsidR="004316F3" w:rsidRDefault="00B021DF" w:rsidP="006E2897">
      <w:pPr>
        <w:pStyle w:val="QuoteAuthor"/>
      </w:pPr>
      <w:r w:rsidRPr="00E21061">
        <w:t>NSW medium for-profit</w:t>
      </w:r>
    </w:p>
    <w:p w14:paraId="76CD09F0" w14:textId="461D9D35" w:rsidR="00B021DF" w:rsidRPr="00E21061" w:rsidRDefault="00B021DF" w:rsidP="006E2897">
      <w:pPr>
        <w:pStyle w:val="Quote"/>
      </w:pPr>
      <w:r w:rsidRPr="00E21061">
        <w:t>“Most important aspect of my job is budget, supports and relationships with providers.”</w:t>
      </w:r>
    </w:p>
    <w:p w14:paraId="57F89068" w14:textId="77777777" w:rsidR="004316F3" w:rsidRDefault="00B021DF" w:rsidP="006E2897">
      <w:pPr>
        <w:pStyle w:val="QuoteAuthor"/>
      </w:pPr>
      <w:r w:rsidRPr="00E21061">
        <w:t>NSW very small for-profit</w:t>
      </w:r>
    </w:p>
    <w:p w14:paraId="33E74BDB" w14:textId="77777777" w:rsidR="004316F3" w:rsidRDefault="00B021DF" w:rsidP="0097062A">
      <w:r w:rsidRPr="00E21061">
        <w:t>Several respondents raised strong leadership, clearly identifying client service needs, implementing quality service frameworks and celebrating wins as helpful:</w:t>
      </w:r>
    </w:p>
    <w:p w14:paraId="5C65695A" w14:textId="75C8D02D" w:rsidR="00B021DF" w:rsidRPr="00620176" w:rsidRDefault="00B021DF" w:rsidP="006E2897">
      <w:pPr>
        <w:pStyle w:val="Quote"/>
      </w:pPr>
      <w:r w:rsidRPr="2753A871">
        <w:t>“There must be dedicated leadership committed to a culture of care and seeing the situation from the client's point of view.”</w:t>
      </w:r>
    </w:p>
    <w:p w14:paraId="5C3899AA" w14:textId="77777777" w:rsidR="004316F3" w:rsidRDefault="00B021DF" w:rsidP="006E2897">
      <w:pPr>
        <w:pStyle w:val="QuoteAuthor"/>
      </w:pPr>
      <w:r w:rsidRPr="00620176">
        <w:t>WA large not-for-profit</w:t>
      </w:r>
    </w:p>
    <w:p w14:paraId="7ABC9DC2" w14:textId="55E8BA1C" w:rsidR="00B021DF" w:rsidRPr="00620176" w:rsidRDefault="00B021DF" w:rsidP="006E2897">
      <w:pPr>
        <w:pStyle w:val="Quote"/>
      </w:pPr>
      <w:r w:rsidRPr="2753A871">
        <w:t>“People focused, leadership, balance and respect.”</w:t>
      </w:r>
    </w:p>
    <w:p w14:paraId="3F02E902" w14:textId="77777777" w:rsidR="004316F3" w:rsidRDefault="00B021DF" w:rsidP="006E2897">
      <w:pPr>
        <w:pStyle w:val="QuoteAuthor"/>
      </w:pPr>
      <w:r w:rsidRPr="6766CE18">
        <w:lastRenderedPageBreak/>
        <w:t>Q</w:t>
      </w:r>
      <w:r w:rsidR="00AD0A08" w:rsidRPr="6766CE18">
        <w:t>ld</w:t>
      </w:r>
      <w:r w:rsidRPr="00620176">
        <w:t xml:space="preserve"> very small social enterprise</w:t>
      </w:r>
    </w:p>
    <w:p w14:paraId="6017B402" w14:textId="4E2D6830" w:rsidR="00B021DF" w:rsidRPr="00620176" w:rsidRDefault="00B021DF" w:rsidP="006E2897">
      <w:pPr>
        <w:pStyle w:val="Quote"/>
      </w:pPr>
      <w:r w:rsidRPr="018F4307">
        <w:t>“Clearly identifying client needs and ensuring these align with our capabilities.”</w:t>
      </w:r>
    </w:p>
    <w:p w14:paraId="55C4CEE9" w14:textId="77777777" w:rsidR="004316F3" w:rsidRDefault="00B021DF" w:rsidP="006E2897">
      <w:pPr>
        <w:pStyle w:val="QuoteAuthor"/>
      </w:pPr>
      <w:r w:rsidRPr="00620176">
        <w:t>NSW medium not-for-profit</w:t>
      </w:r>
    </w:p>
    <w:p w14:paraId="0B33E80A" w14:textId="6DB1B6F5" w:rsidR="00B021DF" w:rsidRPr="00620176" w:rsidRDefault="00B021DF" w:rsidP="006E2897">
      <w:pPr>
        <w:pStyle w:val="Quote"/>
      </w:pPr>
      <w:r w:rsidRPr="297D2849">
        <w:t>“Seeing the situation from the client's point of view.”</w:t>
      </w:r>
    </w:p>
    <w:p w14:paraId="6B3B358A" w14:textId="77777777" w:rsidR="004316F3" w:rsidRDefault="00B021DF" w:rsidP="006E2897">
      <w:pPr>
        <w:pStyle w:val="QuoteAuthor"/>
      </w:pPr>
      <w:r w:rsidRPr="00620176">
        <w:t>WA large not-for-profit</w:t>
      </w:r>
    </w:p>
    <w:p w14:paraId="75BF5060" w14:textId="7A42AEDC" w:rsidR="00B021DF" w:rsidRPr="00620176" w:rsidRDefault="00B021DF" w:rsidP="006E2897">
      <w:pPr>
        <w:pStyle w:val="Quote"/>
      </w:pPr>
      <w:r w:rsidRPr="297D2849">
        <w:t>“Promote Quality Frameworks regardless of the pushback.”</w:t>
      </w:r>
    </w:p>
    <w:p w14:paraId="677A16FD" w14:textId="77777777" w:rsidR="004316F3" w:rsidRDefault="00B021DF" w:rsidP="006E2897">
      <w:pPr>
        <w:pStyle w:val="QuoteAuthor"/>
      </w:pPr>
      <w:r w:rsidRPr="6766CE18">
        <w:t>Q</w:t>
      </w:r>
      <w:r w:rsidR="00AD0A08" w:rsidRPr="6766CE18">
        <w:t>ld</w:t>
      </w:r>
      <w:r w:rsidRPr="00620176">
        <w:t xml:space="preserve"> very small social enterprise</w:t>
      </w:r>
    </w:p>
    <w:p w14:paraId="2E97CEFA" w14:textId="5981E6A4" w:rsidR="00B021DF" w:rsidRPr="00620176" w:rsidRDefault="00B021DF" w:rsidP="006E2897">
      <w:pPr>
        <w:pStyle w:val="Quote"/>
      </w:pPr>
      <w:r w:rsidRPr="297D2849">
        <w:t>“Celebrate the wins whenever we can no matter how small.”</w:t>
      </w:r>
    </w:p>
    <w:p w14:paraId="10EC0817" w14:textId="426CDB95" w:rsidR="00B021DF" w:rsidRPr="00620176" w:rsidRDefault="00B021DF" w:rsidP="006E2897">
      <w:pPr>
        <w:pStyle w:val="QuoteAuthor"/>
      </w:pPr>
      <w:r w:rsidRPr="6766CE18">
        <w:t>Q</w:t>
      </w:r>
      <w:r w:rsidR="00AD0A08" w:rsidRPr="6766CE18">
        <w:t>ld</w:t>
      </w:r>
      <w:r w:rsidRPr="00620176">
        <w:t xml:space="preserve"> very small social enterprise</w:t>
      </w:r>
    </w:p>
    <w:p w14:paraId="49FF27D5" w14:textId="77777777" w:rsidR="00B021DF" w:rsidRPr="00E21061" w:rsidRDefault="00B021DF" w:rsidP="0097062A">
      <w:pPr>
        <w:pStyle w:val="Heading3"/>
      </w:pPr>
      <w:r w:rsidRPr="00E21061">
        <w:t>Profit and loss</w:t>
      </w:r>
    </w:p>
    <w:p w14:paraId="06466B81" w14:textId="13B7AC9E" w:rsidR="004316F3" w:rsidRDefault="00B021DF" w:rsidP="0097062A">
      <w:r w:rsidRPr="00E21061">
        <w:t>After a deeply concerning few years, the financial situation continues to worsen for the disability sector. A</w:t>
      </w:r>
      <w:r w:rsidR="004038E1">
        <w:t xml:space="preserve"> startling </w:t>
      </w:r>
      <w:r w:rsidRPr="00E21061">
        <w:t>50 per cent of organisations made a deficit in the 2023</w:t>
      </w:r>
      <w:r w:rsidRPr="644B5232">
        <w:rPr>
          <w:lang w:val="en-US"/>
        </w:rPr>
        <w:t>–</w:t>
      </w:r>
      <w:r>
        <w:t>24</w:t>
      </w:r>
      <w:r w:rsidRPr="00E21061">
        <w:t xml:space="preserve"> financial year, with only 35 per cent making a profit or surplus. </w:t>
      </w:r>
      <w:r w:rsidRPr="00BD16E6">
        <w:t>This is compared to 34 per cent of organisations who made a loss in the 2022</w:t>
      </w:r>
      <w:r w:rsidRPr="00BD16E6">
        <w:rPr>
          <w:lang w:val="en-US"/>
        </w:rPr>
        <w:t>–</w:t>
      </w:r>
      <w:r w:rsidRPr="00BD16E6">
        <w:t>23 financial year</w:t>
      </w:r>
      <w:r w:rsidR="00407B3E" w:rsidRPr="00BD16E6">
        <w:t>,</w:t>
      </w:r>
      <w:r w:rsidRPr="00BD16E6">
        <w:t xml:space="preserve"> a 16 per cent change</w:t>
      </w:r>
      <w:r w:rsidR="00031852" w:rsidRPr="00BD16E6">
        <w:t xml:space="preserve"> (see </w:t>
      </w:r>
      <w:r w:rsidR="00831F0A" w:rsidRPr="00BD16E6">
        <w:fldChar w:fldCharType="begin"/>
      </w:r>
      <w:r w:rsidR="00831F0A" w:rsidRPr="00BD16E6">
        <w:instrText xml:space="preserve"> REF _Ref183877108 \h  \* MERGEFORMAT </w:instrText>
      </w:r>
      <w:r w:rsidR="00831F0A" w:rsidRPr="00BD16E6">
        <w:fldChar w:fldCharType="separate"/>
      </w:r>
      <w:r w:rsidR="00831F0A" w:rsidRPr="00BD16E6">
        <w:t xml:space="preserve">Table </w:t>
      </w:r>
      <w:r w:rsidR="00831F0A" w:rsidRPr="00BD16E6">
        <w:rPr>
          <w:noProof/>
        </w:rPr>
        <w:t>14</w:t>
      </w:r>
      <w:r w:rsidR="00831F0A" w:rsidRPr="00BD16E6">
        <w:fldChar w:fldCharType="end"/>
      </w:r>
      <w:r w:rsidR="00C4622C" w:rsidRPr="00BD16E6">
        <w:t xml:space="preserve">, </w:t>
      </w:r>
      <w:r w:rsidR="003E57FA" w:rsidRPr="003E57FA">
        <w:fldChar w:fldCharType="begin"/>
      </w:r>
      <w:r w:rsidR="003E57FA" w:rsidRPr="003E57FA">
        <w:instrText xml:space="preserve"> REF _Ref183878730 \h  \* MERGEFORMAT </w:instrText>
      </w:r>
      <w:r w:rsidR="003E57FA" w:rsidRPr="003E57FA">
        <w:fldChar w:fldCharType="separate"/>
      </w:r>
      <w:r w:rsidR="003E57FA" w:rsidRPr="003E57FA">
        <w:t xml:space="preserve">Table </w:t>
      </w:r>
      <w:r w:rsidR="003E57FA" w:rsidRPr="003E57FA">
        <w:rPr>
          <w:noProof/>
        </w:rPr>
        <w:t>15</w:t>
      </w:r>
      <w:r w:rsidR="003E57FA" w:rsidRPr="003E57FA">
        <w:fldChar w:fldCharType="end"/>
      </w:r>
      <w:r w:rsidR="002944B0" w:rsidRPr="00BD16E6">
        <w:t>,</w:t>
      </w:r>
      <w:r w:rsidR="00C4622C" w:rsidRPr="00BD16E6">
        <w:t xml:space="preserve"> </w:t>
      </w:r>
      <w:r w:rsidR="00C044EB" w:rsidRPr="00C044EB">
        <w:fldChar w:fldCharType="begin"/>
      </w:r>
      <w:r w:rsidR="00C044EB" w:rsidRPr="00C044EB">
        <w:instrText xml:space="preserve"> REF _Ref183877984 \h  \* MERGEFORMAT </w:instrText>
      </w:r>
      <w:r w:rsidR="00C044EB" w:rsidRPr="00C044EB">
        <w:fldChar w:fldCharType="separate"/>
      </w:r>
      <w:r w:rsidR="00C044EB" w:rsidRPr="00C044EB">
        <w:t xml:space="preserve">Table </w:t>
      </w:r>
      <w:r w:rsidR="00C044EB" w:rsidRPr="00C044EB">
        <w:rPr>
          <w:noProof/>
        </w:rPr>
        <w:t>16</w:t>
      </w:r>
      <w:r w:rsidR="00C044EB" w:rsidRPr="00C044EB">
        <w:fldChar w:fldCharType="end"/>
      </w:r>
      <w:r w:rsidR="002944B0" w:rsidRPr="00BD16E6">
        <w:t xml:space="preserve"> </w:t>
      </w:r>
      <w:r w:rsidR="00C4622C" w:rsidRPr="00BD16E6">
        <w:t xml:space="preserve">and </w:t>
      </w:r>
      <w:r w:rsidR="00C044EB" w:rsidRPr="00C044EB">
        <w:fldChar w:fldCharType="begin"/>
      </w:r>
      <w:r w:rsidR="00C044EB" w:rsidRPr="00C044EB">
        <w:instrText xml:space="preserve"> REF _Ref183878036 \h  \* MERGEFORMAT </w:instrText>
      </w:r>
      <w:r w:rsidR="00C044EB" w:rsidRPr="00C044EB">
        <w:fldChar w:fldCharType="separate"/>
      </w:r>
      <w:r w:rsidR="00C044EB" w:rsidRPr="00C044EB">
        <w:t xml:space="preserve">Table </w:t>
      </w:r>
      <w:r w:rsidR="00C044EB" w:rsidRPr="00C044EB">
        <w:rPr>
          <w:noProof/>
        </w:rPr>
        <w:t>17</w:t>
      </w:r>
      <w:r w:rsidR="00C044EB" w:rsidRPr="00C044EB">
        <w:fldChar w:fldCharType="end"/>
      </w:r>
      <w:r w:rsidR="00031852" w:rsidRPr="00BD16E6">
        <w:t>)</w:t>
      </w:r>
      <w:r w:rsidRPr="00BD16E6">
        <w:t>.</w:t>
      </w:r>
    </w:p>
    <w:p w14:paraId="30A9322C" w14:textId="5AC658B8" w:rsidR="00B021DF" w:rsidRPr="00E21061" w:rsidRDefault="00B021DF" w:rsidP="0097062A">
      <w:r>
        <w:t>This financial result appears to have come as a surprise to many organisations. In each State of the Disability Sector survey, respondents are asked to report on their projected financial position for the current financial year. Typically, the proportions of organisations predicting a deficit in one survey round is very consistent (within a few percentage points) with the actual proportion of respondents reporting a deficit in the following year’s survey. In last year's survey, only 26 per cent of respondents predicted a deficit for the 2023</w:t>
      </w:r>
      <w:r w:rsidRPr="28DCED7E">
        <w:rPr>
          <w:lang w:val="en-US"/>
        </w:rPr>
        <w:t>–</w:t>
      </w:r>
      <w:r>
        <w:t>24 financial year, compared with the 50 per cent who reported an actual deficit for the 2023</w:t>
      </w:r>
      <w:r w:rsidRPr="28DCED7E">
        <w:rPr>
          <w:lang w:val="en-US"/>
        </w:rPr>
        <w:t>–</w:t>
      </w:r>
      <w:r>
        <w:t>24 financial year in this year’s survey.</w:t>
      </w:r>
    </w:p>
    <w:p w14:paraId="78077153" w14:textId="77777777" w:rsidR="004316F3" w:rsidRDefault="00B021DF" w:rsidP="0097062A">
      <w:r w:rsidRPr="00E21061">
        <w:t>In terms of differences between different organisation types and geographic locations, there are large differences in financial performance between for-profit and not-for-profit organisations and those established before and after the introduction of NDIS. Not-for-profit organisations and those established before 2014 are significantly more likely to report a loss for 2023-</w:t>
      </w:r>
      <w:r>
        <w:t>24</w:t>
      </w:r>
      <w:r w:rsidRPr="00E21061">
        <w:t xml:space="preserve"> and predict a loss for 2024</w:t>
      </w:r>
      <w:r w:rsidRPr="644B5232">
        <w:rPr>
          <w:lang w:val="en-US"/>
        </w:rPr>
        <w:t>–</w:t>
      </w:r>
      <w:r>
        <w:t>25</w:t>
      </w:r>
      <w:r w:rsidRPr="00E21061">
        <w:t>.</w:t>
      </w:r>
    </w:p>
    <w:p w14:paraId="414339A2" w14:textId="5696F37A" w:rsidR="00B021DF" w:rsidRPr="00620176" w:rsidRDefault="00B021DF" w:rsidP="0097062A">
      <w:r w:rsidRPr="00E21061">
        <w:lastRenderedPageBreak/>
        <w:t>Additionally, larger organisations are also more likely to report a loss for 2023</w:t>
      </w:r>
      <w:r w:rsidRPr="644B5232">
        <w:rPr>
          <w:lang w:val="en-US"/>
        </w:rPr>
        <w:t>–</w:t>
      </w:r>
      <w:r>
        <w:t>24</w:t>
      </w:r>
      <w:r w:rsidRPr="00E21061">
        <w:t xml:space="preserve"> and predict a loss for 2024</w:t>
      </w:r>
      <w:r w:rsidRPr="644B5232">
        <w:rPr>
          <w:lang w:val="en-US"/>
        </w:rPr>
        <w:t>–</w:t>
      </w:r>
      <w:r>
        <w:t>25.</w:t>
      </w:r>
      <w:r w:rsidRPr="00E21061">
        <w:t xml:space="preserve"> This is particularly true for organisations with a</w:t>
      </w:r>
      <w:r w:rsidRPr="25824F7A">
        <w:t xml:space="preserve"> turnover of </w:t>
      </w:r>
      <w:r w:rsidR="5D40DA58" w:rsidRPr="25824F7A">
        <w:t>more than</w:t>
      </w:r>
      <w:r w:rsidRPr="25824F7A">
        <w:t xml:space="preserve"> $20 million.</w:t>
      </w:r>
    </w:p>
    <w:p w14:paraId="4B06DFBB" w14:textId="77777777" w:rsidR="00B021DF" w:rsidRPr="00620176" w:rsidRDefault="00B021DF" w:rsidP="0097062A">
      <w:r>
        <w:t>There are no significant differences between organisations operating in different states and territories or in relation to those offering services in metropolitan, rural or remote areas.</w:t>
      </w:r>
    </w:p>
    <w:p w14:paraId="6B1A2B53" w14:textId="259C2767" w:rsidR="001B1052" w:rsidRPr="005366DB" w:rsidRDefault="00831F0A" w:rsidP="00831F0A">
      <w:pPr>
        <w:pStyle w:val="Caption"/>
      </w:pPr>
      <w:bookmarkStart w:id="43" w:name="_Ref183877108"/>
      <w:commentRangeStart w:id="44"/>
      <w:r w:rsidRPr="00831F0A">
        <w:rPr>
          <w:b/>
          <w:bCs/>
        </w:rPr>
        <w:t xml:space="preserve">Table </w:t>
      </w:r>
      <w:r w:rsidRPr="00831F0A">
        <w:rPr>
          <w:b/>
          <w:bCs/>
        </w:rPr>
        <w:fldChar w:fldCharType="begin"/>
      </w:r>
      <w:r w:rsidRPr="00831F0A">
        <w:rPr>
          <w:b/>
          <w:bCs/>
        </w:rPr>
        <w:instrText xml:space="preserve"> SEQ Table \* ARABIC </w:instrText>
      </w:r>
      <w:r w:rsidRPr="00831F0A">
        <w:rPr>
          <w:b/>
          <w:bCs/>
        </w:rPr>
        <w:fldChar w:fldCharType="separate"/>
      </w:r>
      <w:r w:rsidR="00DC68AF">
        <w:rPr>
          <w:b/>
          <w:bCs/>
          <w:noProof/>
        </w:rPr>
        <w:t>14</w:t>
      </w:r>
      <w:r w:rsidRPr="00831F0A">
        <w:rPr>
          <w:b/>
          <w:bCs/>
        </w:rPr>
        <w:fldChar w:fldCharType="end"/>
      </w:r>
      <w:bookmarkEnd w:id="43"/>
      <w:commentRangeEnd w:id="44"/>
      <w:r w:rsidR="0059798F">
        <w:rPr>
          <w:rStyle w:val="CommentReference"/>
          <w:rFonts w:eastAsia="Arial" w:cs="Arial"/>
          <w:iCs w:val="0"/>
          <w:color w:val="auto"/>
          <w:kern w:val="2"/>
          <w14:ligatures w14:val="standardContextual"/>
        </w:rPr>
        <w:commentReference w:id="44"/>
      </w:r>
      <w:r>
        <w:t xml:space="preserve"> </w:t>
      </w:r>
      <w:r w:rsidRPr="000F7258">
        <w:t xml:space="preserve">In the most recent full financial year (year ending 30 June 2024) did your organisation make a loss, break even or make a profit (surplus) </w:t>
      </w:r>
      <w:proofErr w:type="gramStart"/>
      <w:r w:rsidRPr="000F7258">
        <w:t>in regard to</w:t>
      </w:r>
      <w:proofErr w:type="gramEnd"/>
      <w:r w:rsidRPr="000F7258">
        <w:t xml:space="preserve"> its disability services? Statement </w:t>
      </w:r>
      <w:r w:rsidRPr="000F7258">
        <w:rPr>
          <w:rFonts w:hint="eastAsia"/>
        </w:rPr>
        <w:t>–</w:t>
      </w:r>
      <w:r w:rsidRPr="000F7258">
        <w:t xml:space="preserve"> We made a loss/deficit</w:t>
      </w:r>
    </w:p>
    <w:tbl>
      <w:tblPr>
        <w:tblW w:w="6658" w:type="dxa"/>
        <w:tblLook w:val="04A0" w:firstRow="1" w:lastRow="0" w:firstColumn="1" w:lastColumn="0" w:noHBand="0" w:noVBand="1"/>
        <w:tblCaption w:val="Table 14 In the most recent full financial year (year ending 30 June 2024) did your organisation make a loss, break even or make a profit (surplus) in regard to its disability services? Statement – We made a loss/deficit"/>
        <w:tblDescription w:val="A table showing the percentage of organisations reporting a loss for the year ending 30 June 2024. Disability services only. Trend data from 2016 to 2024."/>
      </w:tblPr>
      <w:tblGrid>
        <w:gridCol w:w="1040"/>
        <w:gridCol w:w="3066"/>
        <w:gridCol w:w="2552"/>
      </w:tblGrid>
      <w:tr w:rsidR="00B66D29" w:rsidRPr="0012533D" w14:paraId="261FFE2A" w14:textId="77777777" w:rsidTr="0012533D">
        <w:trPr>
          <w:trHeight w:val="307"/>
          <w:tblHeader/>
        </w:trPr>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151DF5" w14:textId="77777777" w:rsidR="00B66D29" w:rsidRPr="0012533D" w:rsidRDefault="00B66D29" w:rsidP="0012533D">
            <w:pPr>
              <w:rPr>
                <w:b/>
                <w:bCs/>
                <w:lang w:eastAsia="en-AU"/>
              </w:rPr>
            </w:pPr>
            <w:bookmarkStart w:id="45" w:name="Title_Table_14"/>
            <w:bookmarkStart w:id="46" w:name="_Ref183795572"/>
            <w:bookmarkEnd w:id="45"/>
            <w:r w:rsidRPr="0012533D">
              <w:rPr>
                <w:b/>
                <w:bCs/>
                <w:lang w:eastAsia="en-AU"/>
              </w:rPr>
              <w:t>Year</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2AEC24" w14:textId="77777777" w:rsidR="00B66D29" w:rsidRPr="0012533D" w:rsidRDefault="00B66D29" w:rsidP="0012533D">
            <w:pPr>
              <w:rPr>
                <w:b/>
                <w:bCs/>
                <w:lang w:eastAsia="en-AU"/>
              </w:rPr>
            </w:pPr>
            <w:r w:rsidRPr="0012533D">
              <w:rPr>
                <w:b/>
                <w:bCs/>
                <w:lang w:eastAsia="en-AU"/>
              </w:rPr>
              <w:t>We made a loss/deficit</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B1D408" w14:textId="77777777" w:rsidR="00B66D29" w:rsidRPr="0012533D" w:rsidRDefault="00B66D29" w:rsidP="0012533D">
            <w:pPr>
              <w:rPr>
                <w:b/>
                <w:bCs/>
                <w:lang w:eastAsia="en-AU"/>
              </w:rPr>
            </w:pPr>
            <w:r w:rsidRPr="0012533D">
              <w:rPr>
                <w:b/>
                <w:bCs/>
                <w:lang w:eastAsia="en-AU"/>
              </w:rPr>
              <w:t>Loss/deficit trend</w:t>
            </w:r>
          </w:p>
        </w:tc>
      </w:tr>
      <w:tr w:rsidR="00B66D29" w:rsidRPr="00C44114" w14:paraId="1ACE3020"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4666122" w14:textId="77777777" w:rsidR="00B66D29" w:rsidRPr="00C44114" w:rsidRDefault="00B66D29" w:rsidP="000552EE">
            <w:pPr>
              <w:rPr>
                <w:lang w:eastAsia="en-AU"/>
              </w:rPr>
            </w:pPr>
            <w:r w:rsidRPr="00C44114">
              <w:rPr>
                <w:lang w:eastAsia="en-AU"/>
              </w:rPr>
              <w:t>2016</w:t>
            </w:r>
          </w:p>
        </w:tc>
        <w:tc>
          <w:tcPr>
            <w:tcW w:w="3066" w:type="dxa"/>
            <w:tcBorders>
              <w:top w:val="nil"/>
              <w:left w:val="nil"/>
              <w:bottom w:val="single" w:sz="4" w:space="0" w:color="auto"/>
              <w:right w:val="single" w:sz="4" w:space="0" w:color="auto"/>
            </w:tcBorders>
            <w:shd w:val="clear" w:color="auto" w:fill="auto"/>
            <w:noWrap/>
            <w:vAlign w:val="center"/>
            <w:hideMark/>
          </w:tcPr>
          <w:p w14:paraId="56A920F4" w14:textId="77777777" w:rsidR="00B66D29" w:rsidRPr="00C44114" w:rsidRDefault="00B66D29" w:rsidP="000552EE">
            <w:pPr>
              <w:rPr>
                <w:lang w:eastAsia="en-AU"/>
              </w:rPr>
            </w:pPr>
            <w:r w:rsidRPr="00C44114">
              <w:rPr>
                <w:lang w:eastAsia="en-AU"/>
              </w:rPr>
              <w:t>21</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3162150C" w14:textId="77777777" w:rsidR="00B66D29" w:rsidRPr="00C44114" w:rsidRDefault="00B66D29" w:rsidP="000552EE">
            <w:pPr>
              <w:rPr>
                <w:lang w:eastAsia="en-AU"/>
              </w:rPr>
            </w:pPr>
            <w:r w:rsidRPr="00C44114">
              <w:rPr>
                <w:lang w:eastAsia="en-AU"/>
              </w:rPr>
              <w:t>18</w:t>
            </w:r>
            <w:r>
              <w:rPr>
                <w:lang w:eastAsia="en-AU"/>
              </w:rPr>
              <w:t xml:space="preserve"> per cent</w:t>
            </w:r>
          </w:p>
        </w:tc>
      </w:tr>
      <w:tr w:rsidR="00B66D29" w:rsidRPr="00C44114" w14:paraId="4FC1B68E"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318E907" w14:textId="77777777" w:rsidR="00B66D29" w:rsidRPr="00C44114" w:rsidRDefault="00B66D29" w:rsidP="000552EE">
            <w:pPr>
              <w:rPr>
                <w:lang w:eastAsia="en-AU"/>
              </w:rPr>
            </w:pPr>
            <w:r w:rsidRPr="00C44114">
              <w:rPr>
                <w:lang w:eastAsia="en-AU"/>
              </w:rPr>
              <w:t>2017</w:t>
            </w:r>
          </w:p>
        </w:tc>
        <w:tc>
          <w:tcPr>
            <w:tcW w:w="3066" w:type="dxa"/>
            <w:tcBorders>
              <w:top w:val="nil"/>
              <w:left w:val="nil"/>
              <w:bottom w:val="single" w:sz="4" w:space="0" w:color="auto"/>
              <w:right w:val="single" w:sz="4" w:space="0" w:color="auto"/>
            </w:tcBorders>
            <w:shd w:val="clear" w:color="auto" w:fill="auto"/>
            <w:noWrap/>
            <w:vAlign w:val="center"/>
            <w:hideMark/>
          </w:tcPr>
          <w:p w14:paraId="1DB0B498" w14:textId="77777777" w:rsidR="00B66D29" w:rsidRPr="00C44114" w:rsidRDefault="00B66D29" w:rsidP="000552EE">
            <w:pPr>
              <w:rPr>
                <w:lang w:eastAsia="en-AU"/>
              </w:rPr>
            </w:pPr>
            <w:r w:rsidRPr="00C44114">
              <w:rPr>
                <w:lang w:eastAsia="en-AU"/>
              </w:rPr>
              <w:t>23</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1F0CF939" w14:textId="77777777" w:rsidR="00B66D29" w:rsidRPr="00C44114" w:rsidRDefault="00B66D29" w:rsidP="000552EE">
            <w:pPr>
              <w:rPr>
                <w:lang w:eastAsia="en-AU"/>
              </w:rPr>
            </w:pPr>
            <w:r w:rsidRPr="00C44114">
              <w:rPr>
                <w:lang w:eastAsia="en-AU"/>
              </w:rPr>
              <w:t>20</w:t>
            </w:r>
            <w:r>
              <w:rPr>
                <w:lang w:eastAsia="en-AU"/>
              </w:rPr>
              <w:t xml:space="preserve"> per cent</w:t>
            </w:r>
          </w:p>
        </w:tc>
      </w:tr>
      <w:tr w:rsidR="00B66D29" w:rsidRPr="00C44114" w14:paraId="3C355CC0"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5853DED" w14:textId="77777777" w:rsidR="00B66D29" w:rsidRPr="00C44114" w:rsidRDefault="00B66D29" w:rsidP="000552EE">
            <w:pPr>
              <w:rPr>
                <w:lang w:eastAsia="en-AU"/>
              </w:rPr>
            </w:pPr>
            <w:r w:rsidRPr="00C44114">
              <w:rPr>
                <w:lang w:eastAsia="en-AU"/>
              </w:rPr>
              <w:t>2018</w:t>
            </w:r>
          </w:p>
        </w:tc>
        <w:tc>
          <w:tcPr>
            <w:tcW w:w="3066" w:type="dxa"/>
            <w:tcBorders>
              <w:top w:val="nil"/>
              <w:left w:val="nil"/>
              <w:bottom w:val="single" w:sz="4" w:space="0" w:color="auto"/>
              <w:right w:val="single" w:sz="4" w:space="0" w:color="auto"/>
            </w:tcBorders>
            <w:shd w:val="clear" w:color="auto" w:fill="auto"/>
            <w:noWrap/>
            <w:vAlign w:val="center"/>
            <w:hideMark/>
          </w:tcPr>
          <w:p w14:paraId="73A58CDA" w14:textId="77777777" w:rsidR="00B66D29" w:rsidRPr="00C44114" w:rsidRDefault="00B66D29" w:rsidP="000552EE">
            <w:pPr>
              <w:rPr>
                <w:lang w:eastAsia="en-AU"/>
              </w:rPr>
            </w:pPr>
            <w:r w:rsidRPr="00C44114">
              <w:rPr>
                <w:lang w:eastAsia="en-AU"/>
              </w:rPr>
              <w:t>28</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31198CA5" w14:textId="77777777" w:rsidR="00B66D29" w:rsidRPr="00C44114" w:rsidRDefault="00B66D29" w:rsidP="000552EE">
            <w:pPr>
              <w:rPr>
                <w:lang w:eastAsia="en-AU"/>
              </w:rPr>
            </w:pPr>
            <w:r w:rsidRPr="00C44114">
              <w:rPr>
                <w:lang w:eastAsia="en-AU"/>
              </w:rPr>
              <w:t>22</w:t>
            </w:r>
            <w:r>
              <w:rPr>
                <w:lang w:eastAsia="en-AU"/>
              </w:rPr>
              <w:t xml:space="preserve"> per cent</w:t>
            </w:r>
          </w:p>
        </w:tc>
      </w:tr>
      <w:tr w:rsidR="00B66D29" w:rsidRPr="00C44114" w14:paraId="51585967"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633FE2D" w14:textId="77777777" w:rsidR="00B66D29" w:rsidRPr="00C44114" w:rsidRDefault="00B66D29" w:rsidP="000552EE">
            <w:pPr>
              <w:rPr>
                <w:lang w:eastAsia="en-AU"/>
              </w:rPr>
            </w:pPr>
            <w:r w:rsidRPr="00C44114">
              <w:rPr>
                <w:lang w:eastAsia="en-AU"/>
              </w:rPr>
              <w:t>2019</w:t>
            </w:r>
          </w:p>
        </w:tc>
        <w:tc>
          <w:tcPr>
            <w:tcW w:w="3066" w:type="dxa"/>
            <w:tcBorders>
              <w:top w:val="nil"/>
              <w:left w:val="nil"/>
              <w:bottom w:val="single" w:sz="4" w:space="0" w:color="auto"/>
              <w:right w:val="single" w:sz="4" w:space="0" w:color="auto"/>
            </w:tcBorders>
            <w:shd w:val="clear" w:color="auto" w:fill="auto"/>
            <w:noWrap/>
            <w:vAlign w:val="center"/>
            <w:hideMark/>
          </w:tcPr>
          <w:p w14:paraId="73AAE8AC" w14:textId="77777777" w:rsidR="00B66D29" w:rsidRPr="00C44114" w:rsidRDefault="00B66D29" w:rsidP="000552EE">
            <w:pPr>
              <w:rPr>
                <w:lang w:eastAsia="en-AU"/>
              </w:rPr>
            </w:pPr>
            <w:r w:rsidRPr="00C44114">
              <w:rPr>
                <w:lang w:eastAsia="en-AU"/>
              </w:rPr>
              <w:t>24</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7EAD1700" w14:textId="77777777" w:rsidR="00B66D29" w:rsidRPr="00C44114" w:rsidRDefault="00B66D29" w:rsidP="000552EE">
            <w:pPr>
              <w:rPr>
                <w:lang w:eastAsia="en-AU"/>
              </w:rPr>
            </w:pPr>
            <w:r w:rsidRPr="00C44114">
              <w:rPr>
                <w:lang w:eastAsia="en-AU"/>
              </w:rPr>
              <w:t>25</w:t>
            </w:r>
            <w:r>
              <w:rPr>
                <w:lang w:eastAsia="en-AU"/>
              </w:rPr>
              <w:t xml:space="preserve"> per cent</w:t>
            </w:r>
          </w:p>
        </w:tc>
      </w:tr>
      <w:tr w:rsidR="00B66D29" w:rsidRPr="00C44114" w14:paraId="5AE0CF7F"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56AAEBE" w14:textId="77777777" w:rsidR="00B66D29" w:rsidRPr="00C44114" w:rsidRDefault="00B66D29" w:rsidP="000552EE">
            <w:pPr>
              <w:rPr>
                <w:lang w:eastAsia="en-AU"/>
              </w:rPr>
            </w:pPr>
            <w:r w:rsidRPr="00C44114">
              <w:rPr>
                <w:lang w:eastAsia="en-AU"/>
              </w:rPr>
              <w:t>2020</w:t>
            </w:r>
          </w:p>
        </w:tc>
        <w:tc>
          <w:tcPr>
            <w:tcW w:w="3066" w:type="dxa"/>
            <w:tcBorders>
              <w:top w:val="nil"/>
              <w:left w:val="nil"/>
              <w:bottom w:val="single" w:sz="4" w:space="0" w:color="auto"/>
              <w:right w:val="single" w:sz="4" w:space="0" w:color="auto"/>
            </w:tcBorders>
            <w:shd w:val="clear" w:color="auto" w:fill="auto"/>
            <w:noWrap/>
            <w:vAlign w:val="center"/>
            <w:hideMark/>
          </w:tcPr>
          <w:p w14:paraId="28BE7F33" w14:textId="77777777" w:rsidR="00B66D29" w:rsidRPr="00C44114" w:rsidRDefault="00B66D29" w:rsidP="000552EE">
            <w:pPr>
              <w:rPr>
                <w:lang w:eastAsia="en-AU"/>
              </w:rPr>
            </w:pPr>
            <w:r w:rsidRPr="00C44114">
              <w:rPr>
                <w:lang w:eastAsia="en-AU"/>
              </w:rPr>
              <w:t>19</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2F2288A4" w14:textId="77777777" w:rsidR="00B66D29" w:rsidRPr="00C44114" w:rsidRDefault="00B66D29" w:rsidP="000552EE">
            <w:pPr>
              <w:rPr>
                <w:lang w:eastAsia="en-AU"/>
              </w:rPr>
            </w:pPr>
            <w:r w:rsidRPr="00C44114">
              <w:rPr>
                <w:lang w:eastAsia="en-AU"/>
              </w:rPr>
              <w:t>27</w:t>
            </w:r>
            <w:r>
              <w:rPr>
                <w:lang w:eastAsia="en-AU"/>
              </w:rPr>
              <w:t xml:space="preserve"> per cent</w:t>
            </w:r>
          </w:p>
        </w:tc>
      </w:tr>
      <w:tr w:rsidR="00B66D29" w:rsidRPr="00C44114" w14:paraId="2703E1B9"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D8525C2" w14:textId="77777777" w:rsidR="00B66D29" w:rsidRPr="00C44114" w:rsidRDefault="00B66D29" w:rsidP="000552EE">
            <w:pPr>
              <w:rPr>
                <w:lang w:eastAsia="en-AU"/>
              </w:rPr>
            </w:pPr>
            <w:r w:rsidRPr="00C44114">
              <w:rPr>
                <w:lang w:eastAsia="en-AU"/>
              </w:rPr>
              <w:t>2021</w:t>
            </w:r>
          </w:p>
        </w:tc>
        <w:tc>
          <w:tcPr>
            <w:tcW w:w="3066" w:type="dxa"/>
            <w:tcBorders>
              <w:top w:val="nil"/>
              <w:left w:val="nil"/>
              <w:bottom w:val="single" w:sz="4" w:space="0" w:color="auto"/>
              <w:right w:val="single" w:sz="4" w:space="0" w:color="auto"/>
            </w:tcBorders>
            <w:shd w:val="clear" w:color="auto" w:fill="auto"/>
            <w:noWrap/>
            <w:vAlign w:val="center"/>
            <w:hideMark/>
          </w:tcPr>
          <w:p w14:paraId="78066F85" w14:textId="77777777" w:rsidR="00B66D29" w:rsidRPr="00C44114" w:rsidRDefault="00B66D29" w:rsidP="000552EE">
            <w:pPr>
              <w:rPr>
                <w:lang w:eastAsia="en-AU"/>
              </w:rPr>
            </w:pPr>
            <w:r w:rsidRPr="00C44114">
              <w:rPr>
                <w:lang w:eastAsia="en-AU"/>
              </w:rPr>
              <w:t>19</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29F13ED3" w14:textId="77777777" w:rsidR="00B66D29" w:rsidRPr="00C44114" w:rsidRDefault="00B66D29" w:rsidP="000552EE">
            <w:pPr>
              <w:rPr>
                <w:lang w:eastAsia="en-AU"/>
              </w:rPr>
            </w:pPr>
            <w:r w:rsidRPr="00C44114">
              <w:rPr>
                <w:lang w:eastAsia="en-AU"/>
              </w:rPr>
              <w:t>29</w:t>
            </w:r>
            <w:r>
              <w:rPr>
                <w:lang w:eastAsia="en-AU"/>
              </w:rPr>
              <w:t xml:space="preserve"> per cent</w:t>
            </w:r>
          </w:p>
        </w:tc>
      </w:tr>
      <w:tr w:rsidR="00B66D29" w:rsidRPr="00C44114" w14:paraId="0378B7E0"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AF72B1B" w14:textId="77777777" w:rsidR="00B66D29" w:rsidRPr="00C44114" w:rsidRDefault="00B66D29" w:rsidP="000552EE">
            <w:pPr>
              <w:rPr>
                <w:lang w:eastAsia="en-AU"/>
              </w:rPr>
            </w:pPr>
            <w:r w:rsidRPr="00C44114">
              <w:rPr>
                <w:lang w:eastAsia="en-AU"/>
              </w:rPr>
              <w:t>2022</w:t>
            </w:r>
          </w:p>
        </w:tc>
        <w:tc>
          <w:tcPr>
            <w:tcW w:w="3066" w:type="dxa"/>
            <w:tcBorders>
              <w:top w:val="nil"/>
              <w:left w:val="nil"/>
              <w:bottom w:val="single" w:sz="4" w:space="0" w:color="auto"/>
              <w:right w:val="single" w:sz="4" w:space="0" w:color="auto"/>
            </w:tcBorders>
            <w:shd w:val="clear" w:color="auto" w:fill="auto"/>
            <w:noWrap/>
            <w:vAlign w:val="center"/>
            <w:hideMark/>
          </w:tcPr>
          <w:p w14:paraId="573D8DCA" w14:textId="77777777" w:rsidR="00B66D29" w:rsidRPr="00C44114" w:rsidRDefault="00B66D29" w:rsidP="000552EE">
            <w:pPr>
              <w:rPr>
                <w:lang w:eastAsia="en-AU"/>
              </w:rPr>
            </w:pPr>
            <w:r w:rsidRPr="00C44114">
              <w:rPr>
                <w:lang w:eastAsia="en-AU"/>
              </w:rPr>
              <w:t>23</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6F755632" w14:textId="77777777" w:rsidR="00B66D29" w:rsidRPr="00C44114" w:rsidRDefault="00B66D29" w:rsidP="000552EE">
            <w:pPr>
              <w:rPr>
                <w:lang w:eastAsia="en-AU"/>
              </w:rPr>
            </w:pPr>
            <w:r w:rsidRPr="00C44114">
              <w:rPr>
                <w:lang w:eastAsia="en-AU"/>
              </w:rPr>
              <w:t>31</w:t>
            </w:r>
            <w:r>
              <w:rPr>
                <w:lang w:eastAsia="en-AU"/>
              </w:rPr>
              <w:t xml:space="preserve"> per cent</w:t>
            </w:r>
          </w:p>
        </w:tc>
      </w:tr>
      <w:tr w:rsidR="00B66D29" w:rsidRPr="00C44114" w14:paraId="0A09BF82"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932BBA8" w14:textId="77777777" w:rsidR="00B66D29" w:rsidRPr="00C44114" w:rsidRDefault="00B66D29" w:rsidP="000552EE">
            <w:pPr>
              <w:rPr>
                <w:lang w:eastAsia="en-AU"/>
              </w:rPr>
            </w:pPr>
            <w:r w:rsidRPr="00C44114">
              <w:rPr>
                <w:lang w:eastAsia="en-AU"/>
              </w:rPr>
              <w:t>2023</w:t>
            </w:r>
          </w:p>
        </w:tc>
        <w:tc>
          <w:tcPr>
            <w:tcW w:w="3066" w:type="dxa"/>
            <w:tcBorders>
              <w:top w:val="nil"/>
              <w:left w:val="nil"/>
              <w:bottom w:val="single" w:sz="4" w:space="0" w:color="auto"/>
              <w:right w:val="single" w:sz="4" w:space="0" w:color="auto"/>
            </w:tcBorders>
            <w:shd w:val="clear" w:color="auto" w:fill="auto"/>
            <w:noWrap/>
            <w:vAlign w:val="center"/>
            <w:hideMark/>
          </w:tcPr>
          <w:p w14:paraId="3A55E71C" w14:textId="77777777" w:rsidR="00B66D29" w:rsidRPr="00C44114" w:rsidRDefault="00B66D29" w:rsidP="000552EE">
            <w:pPr>
              <w:rPr>
                <w:lang w:eastAsia="en-AU"/>
              </w:rPr>
            </w:pPr>
            <w:r w:rsidRPr="00C44114">
              <w:rPr>
                <w:lang w:eastAsia="en-AU"/>
              </w:rPr>
              <w:t>34</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0C8FF72A" w14:textId="77777777" w:rsidR="00B66D29" w:rsidRPr="00C44114" w:rsidRDefault="00B66D29" w:rsidP="000552EE">
            <w:pPr>
              <w:rPr>
                <w:lang w:eastAsia="en-AU"/>
              </w:rPr>
            </w:pPr>
            <w:r w:rsidRPr="00C44114">
              <w:rPr>
                <w:lang w:eastAsia="en-AU"/>
              </w:rPr>
              <w:t>34</w:t>
            </w:r>
            <w:r>
              <w:rPr>
                <w:lang w:eastAsia="en-AU"/>
              </w:rPr>
              <w:t xml:space="preserve"> per cent</w:t>
            </w:r>
          </w:p>
        </w:tc>
      </w:tr>
      <w:tr w:rsidR="00B66D29" w:rsidRPr="00C44114" w14:paraId="6FE05C98" w14:textId="77777777" w:rsidTr="0012533D">
        <w:trPr>
          <w:trHeight w:val="300"/>
          <w:tblHeader/>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3048903" w14:textId="77777777" w:rsidR="00B66D29" w:rsidRPr="00C44114" w:rsidRDefault="00B66D29" w:rsidP="000552EE">
            <w:pPr>
              <w:rPr>
                <w:lang w:eastAsia="en-AU"/>
              </w:rPr>
            </w:pPr>
            <w:r w:rsidRPr="00C44114">
              <w:rPr>
                <w:lang w:eastAsia="en-AU"/>
              </w:rPr>
              <w:t>2024</w:t>
            </w:r>
          </w:p>
        </w:tc>
        <w:tc>
          <w:tcPr>
            <w:tcW w:w="3066" w:type="dxa"/>
            <w:tcBorders>
              <w:top w:val="nil"/>
              <w:left w:val="nil"/>
              <w:bottom w:val="single" w:sz="4" w:space="0" w:color="auto"/>
              <w:right w:val="single" w:sz="4" w:space="0" w:color="auto"/>
            </w:tcBorders>
            <w:shd w:val="clear" w:color="auto" w:fill="auto"/>
            <w:noWrap/>
            <w:vAlign w:val="center"/>
            <w:hideMark/>
          </w:tcPr>
          <w:p w14:paraId="50090710" w14:textId="77777777" w:rsidR="00B66D29" w:rsidRPr="00C44114" w:rsidRDefault="00B66D29" w:rsidP="000552EE">
            <w:pPr>
              <w:rPr>
                <w:lang w:eastAsia="en-AU"/>
              </w:rPr>
            </w:pPr>
            <w:r w:rsidRPr="00C44114">
              <w:rPr>
                <w:lang w:eastAsia="en-AU"/>
              </w:rPr>
              <w:t>50</w:t>
            </w:r>
            <w:r>
              <w:rPr>
                <w:lang w:eastAsia="en-AU"/>
              </w:rPr>
              <w:t xml:space="preserve"> per cent</w:t>
            </w:r>
          </w:p>
        </w:tc>
        <w:tc>
          <w:tcPr>
            <w:tcW w:w="2552" w:type="dxa"/>
            <w:tcBorders>
              <w:top w:val="nil"/>
              <w:left w:val="nil"/>
              <w:bottom w:val="single" w:sz="4" w:space="0" w:color="auto"/>
              <w:right w:val="single" w:sz="4" w:space="0" w:color="auto"/>
            </w:tcBorders>
            <w:shd w:val="clear" w:color="auto" w:fill="auto"/>
            <w:noWrap/>
            <w:vAlign w:val="center"/>
            <w:hideMark/>
          </w:tcPr>
          <w:p w14:paraId="0560DBE4" w14:textId="77777777" w:rsidR="00B66D29" w:rsidRPr="00C44114" w:rsidRDefault="00B66D29" w:rsidP="000552EE">
            <w:pPr>
              <w:rPr>
                <w:lang w:eastAsia="en-AU"/>
              </w:rPr>
            </w:pPr>
            <w:r w:rsidRPr="00C44114">
              <w:rPr>
                <w:lang w:eastAsia="en-AU"/>
              </w:rPr>
              <w:t>36</w:t>
            </w:r>
            <w:r>
              <w:rPr>
                <w:lang w:eastAsia="en-AU"/>
              </w:rPr>
              <w:t xml:space="preserve"> per cent</w:t>
            </w:r>
          </w:p>
        </w:tc>
      </w:tr>
    </w:tbl>
    <w:p w14:paraId="4FC813F0" w14:textId="465BD08E" w:rsidR="00C4622C" w:rsidRPr="005366DB" w:rsidRDefault="0059798F" w:rsidP="00596C64">
      <w:pPr>
        <w:pStyle w:val="Caption"/>
        <w:spacing w:before="360"/>
      </w:pPr>
      <w:bookmarkStart w:id="47" w:name="_Ref183878730"/>
      <w:bookmarkEnd w:id="46"/>
      <w:r w:rsidRPr="0059798F">
        <w:rPr>
          <w:b/>
          <w:bCs/>
        </w:rPr>
        <w:t xml:space="preserve">Table </w:t>
      </w:r>
      <w:r w:rsidRPr="0059798F">
        <w:rPr>
          <w:b/>
          <w:bCs/>
        </w:rPr>
        <w:fldChar w:fldCharType="begin"/>
      </w:r>
      <w:r w:rsidRPr="0059798F">
        <w:rPr>
          <w:b/>
          <w:bCs/>
        </w:rPr>
        <w:instrText xml:space="preserve"> SEQ Table \* ARABIC </w:instrText>
      </w:r>
      <w:r w:rsidRPr="0059798F">
        <w:rPr>
          <w:b/>
          <w:bCs/>
        </w:rPr>
        <w:fldChar w:fldCharType="separate"/>
      </w:r>
      <w:r w:rsidR="00DC68AF">
        <w:rPr>
          <w:b/>
          <w:bCs/>
          <w:noProof/>
        </w:rPr>
        <w:t>15</w:t>
      </w:r>
      <w:r w:rsidRPr="0059798F">
        <w:rPr>
          <w:b/>
          <w:bCs/>
        </w:rPr>
        <w:fldChar w:fldCharType="end"/>
      </w:r>
      <w:bookmarkEnd w:id="47"/>
      <w:r>
        <w:t xml:space="preserve"> In the most recent full financial year (year ending 30 June 2024) did your organisation make a loss, break even or make a profit (surplus) </w:t>
      </w:r>
      <w:proofErr w:type="gramStart"/>
      <w:r>
        <w:t>in regard to</w:t>
      </w:r>
      <w:proofErr w:type="gramEnd"/>
      <w:r>
        <w:t xml:space="preserve"> its disability services? </w:t>
      </w:r>
      <w:r w:rsidRPr="00020A60">
        <w:t xml:space="preserve">Statement </w:t>
      </w:r>
      <w:r w:rsidR="00CC1235">
        <w:t>–</w:t>
      </w:r>
      <w:r w:rsidRPr="00020A60">
        <w:t xml:space="preserve"> We made a profit/surplus</w:t>
      </w:r>
    </w:p>
    <w:tbl>
      <w:tblPr>
        <w:tblW w:w="0" w:type="auto"/>
        <w:tblLook w:val="04A0" w:firstRow="1" w:lastRow="0" w:firstColumn="1" w:lastColumn="0" w:noHBand="0" w:noVBand="1"/>
        <w:tblCaption w:val="Table 15 In the most recent full financial year (year ending 30 June 2024) did your organisation make a loss, break even or make a profit (surplus) in regard to its disability services? Statement – We made a profit/surplus"/>
        <w:tblDescription w:val="A table showing the percentage of organisations reporting a profit for the year ending 30 June 2024. Disability services only. Trend data from 2016 to 2024."/>
      </w:tblPr>
      <w:tblGrid>
        <w:gridCol w:w="1040"/>
        <w:gridCol w:w="3208"/>
        <w:gridCol w:w="2551"/>
      </w:tblGrid>
      <w:tr w:rsidR="000552EE" w:rsidRPr="00F360E3" w14:paraId="6370D20B" w14:textId="77777777" w:rsidTr="0012533D">
        <w:trPr>
          <w:trHeight w:val="300"/>
          <w:tblHeader/>
        </w:trPr>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6C57A" w14:textId="77777777" w:rsidR="000552EE" w:rsidRPr="00F360E3" w:rsidRDefault="000552EE" w:rsidP="00F360E3">
            <w:pPr>
              <w:rPr>
                <w:b/>
                <w:bCs/>
                <w:lang w:eastAsia="en-AU"/>
              </w:rPr>
            </w:pPr>
            <w:bookmarkStart w:id="48" w:name="Title_Table_15"/>
            <w:bookmarkStart w:id="49" w:name="_Ref183795592"/>
            <w:bookmarkEnd w:id="48"/>
            <w:r w:rsidRPr="00F360E3">
              <w:rPr>
                <w:b/>
                <w:bCs/>
                <w:lang w:eastAsia="en-AU"/>
              </w:rPr>
              <w:t>Year</w:t>
            </w:r>
          </w:p>
        </w:tc>
        <w:tc>
          <w:tcPr>
            <w:tcW w:w="3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D2A8E5" w14:textId="77777777" w:rsidR="000552EE" w:rsidRPr="00F360E3" w:rsidRDefault="000552EE" w:rsidP="00F360E3">
            <w:pPr>
              <w:rPr>
                <w:b/>
                <w:bCs/>
                <w:lang w:eastAsia="en-AU"/>
              </w:rPr>
            </w:pPr>
            <w:r w:rsidRPr="00F360E3">
              <w:rPr>
                <w:b/>
                <w:bCs/>
                <w:lang w:eastAsia="en-AU"/>
              </w:rPr>
              <w:t>We made a profit/surplus</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A62F48" w14:textId="77777777" w:rsidR="000552EE" w:rsidRPr="00F360E3" w:rsidRDefault="000552EE" w:rsidP="00F360E3">
            <w:pPr>
              <w:rPr>
                <w:b/>
                <w:bCs/>
                <w:lang w:eastAsia="en-AU"/>
              </w:rPr>
            </w:pPr>
            <w:r w:rsidRPr="00F360E3">
              <w:rPr>
                <w:b/>
                <w:bCs/>
                <w:lang w:eastAsia="en-AU"/>
              </w:rPr>
              <w:t>Profit/surplus trend</w:t>
            </w:r>
          </w:p>
        </w:tc>
      </w:tr>
      <w:tr w:rsidR="000552EE" w14:paraId="492FC1D4"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7A36D79E" w14:textId="77777777" w:rsidR="000552EE" w:rsidRDefault="000552EE" w:rsidP="00F360E3">
            <w:pPr>
              <w:rPr>
                <w:lang w:eastAsia="en-AU"/>
              </w:rPr>
            </w:pPr>
            <w:r w:rsidRPr="759DB011">
              <w:rPr>
                <w:lang w:eastAsia="en-AU"/>
              </w:rPr>
              <w:t>2016</w:t>
            </w:r>
          </w:p>
        </w:tc>
        <w:tc>
          <w:tcPr>
            <w:tcW w:w="3208" w:type="dxa"/>
            <w:tcBorders>
              <w:top w:val="nil"/>
              <w:left w:val="nil"/>
              <w:bottom w:val="single" w:sz="4" w:space="0" w:color="auto"/>
              <w:right w:val="single" w:sz="4" w:space="0" w:color="auto"/>
            </w:tcBorders>
            <w:shd w:val="clear" w:color="auto" w:fill="auto"/>
            <w:vAlign w:val="center"/>
          </w:tcPr>
          <w:p w14:paraId="24FAD09F" w14:textId="77777777" w:rsidR="000552EE" w:rsidRDefault="000552EE" w:rsidP="00F360E3">
            <w:pPr>
              <w:rPr>
                <w:lang w:eastAsia="en-AU"/>
              </w:rPr>
            </w:pPr>
            <w:r w:rsidRPr="759DB011">
              <w:rPr>
                <w:lang w:eastAsia="en-AU"/>
              </w:rPr>
              <w:t>55 per cent</w:t>
            </w:r>
          </w:p>
        </w:tc>
        <w:tc>
          <w:tcPr>
            <w:tcW w:w="2551" w:type="dxa"/>
            <w:tcBorders>
              <w:top w:val="nil"/>
              <w:left w:val="nil"/>
              <w:bottom w:val="single" w:sz="4" w:space="0" w:color="auto"/>
              <w:right w:val="single" w:sz="4" w:space="0" w:color="auto"/>
            </w:tcBorders>
            <w:shd w:val="clear" w:color="auto" w:fill="auto"/>
            <w:vAlign w:val="center"/>
          </w:tcPr>
          <w:p w14:paraId="45221FEE" w14:textId="77777777" w:rsidR="000552EE" w:rsidRDefault="000552EE" w:rsidP="00F360E3">
            <w:pPr>
              <w:rPr>
                <w:lang w:eastAsia="en-AU"/>
              </w:rPr>
            </w:pPr>
            <w:r w:rsidRPr="759DB011">
              <w:rPr>
                <w:lang w:eastAsia="en-AU"/>
              </w:rPr>
              <w:t>59 per cent</w:t>
            </w:r>
          </w:p>
        </w:tc>
      </w:tr>
      <w:tr w:rsidR="000552EE" w14:paraId="7DC8959F"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482BD016" w14:textId="77777777" w:rsidR="000552EE" w:rsidRDefault="000552EE" w:rsidP="00F360E3">
            <w:pPr>
              <w:rPr>
                <w:lang w:eastAsia="en-AU"/>
              </w:rPr>
            </w:pPr>
            <w:r w:rsidRPr="759DB011">
              <w:rPr>
                <w:lang w:eastAsia="en-AU"/>
              </w:rPr>
              <w:t>2017</w:t>
            </w:r>
          </w:p>
        </w:tc>
        <w:tc>
          <w:tcPr>
            <w:tcW w:w="3208" w:type="dxa"/>
            <w:tcBorders>
              <w:top w:val="nil"/>
              <w:left w:val="nil"/>
              <w:bottom w:val="single" w:sz="4" w:space="0" w:color="auto"/>
              <w:right w:val="single" w:sz="4" w:space="0" w:color="auto"/>
            </w:tcBorders>
            <w:shd w:val="clear" w:color="auto" w:fill="auto"/>
            <w:vAlign w:val="center"/>
          </w:tcPr>
          <w:p w14:paraId="53DAAF50" w14:textId="77777777" w:rsidR="000552EE" w:rsidRDefault="000552EE" w:rsidP="00F360E3">
            <w:pPr>
              <w:rPr>
                <w:lang w:eastAsia="en-AU"/>
              </w:rPr>
            </w:pPr>
            <w:r w:rsidRPr="759DB011">
              <w:rPr>
                <w:lang w:eastAsia="en-AU"/>
              </w:rPr>
              <w:t>53 per cent</w:t>
            </w:r>
          </w:p>
        </w:tc>
        <w:tc>
          <w:tcPr>
            <w:tcW w:w="2551" w:type="dxa"/>
            <w:tcBorders>
              <w:top w:val="nil"/>
              <w:left w:val="nil"/>
              <w:bottom w:val="single" w:sz="4" w:space="0" w:color="auto"/>
              <w:right w:val="single" w:sz="4" w:space="0" w:color="auto"/>
            </w:tcBorders>
            <w:shd w:val="clear" w:color="auto" w:fill="auto"/>
            <w:vAlign w:val="center"/>
          </w:tcPr>
          <w:p w14:paraId="0784694E" w14:textId="77777777" w:rsidR="000552EE" w:rsidRDefault="000552EE" w:rsidP="00F360E3">
            <w:pPr>
              <w:rPr>
                <w:lang w:eastAsia="en-AU"/>
              </w:rPr>
            </w:pPr>
            <w:r w:rsidRPr="759DB011">
              <w:rPr>
                <w:lang w:eastAsia="en-AU"/>
              </w:rPr>
              <w:t>57 per cent</w:t>
            </w:r>
          </w:p>
        </w:tc>
      </w:tr>
      <w:tr w:rsidR="000552EE" w14:paraId="5DCDF67F"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1320EF1F" w14:textId="77777777" w:rsidR="000552EE" w:rsidRDefault="000552EE" w:rsidP="00F360E3">
            <w:pPr>
              <w:rPr>
                <w:lang w:eastAsia="en-AU"/>
              </w:rPr>
            </w:pPr>
            <w:r w:rsidRPr="759DB011">
              <w:rPr>
                <w:lang w:eastAsia="en-AU"/>
              </w:rPr>
              <w:t>2018</w:t>
            </w:r>
          </w:p>
        </w:tc>
        <w:tc>
          <w:tcPr>
            <w:tcW w:w="3208" w:type="dxa"/>
            <w:tcBorders>
              <w:top w:val="nil"/>
              <w:left w:val="nil"/>
              <w:bottom w:val="single" w:sz="4" w:space="0" w:color="auto"/>
              <w:right w:val="single" w:sz="4" w:space="0" w:color="auto"/>
            </w:tcBorders>
            <w:shd w:val="clear" w:color="auto" w:fill="auto"/>
            <w:vAlign w:val="center"/>
          </w:tcPr>
          <w:p w14:paraId="71824390" w14:textId="77777777" w:rsidR="000552EE" w:rsidRDefault="000552EE" w:rsidP="00F360E3">
            <w:pPr>
              <w:rPr>
                <w:lang w:eastAsia="en-AU"/>
              </w:rPr>
            </w:pPr>
            <w:r w:rsidRPr="759DB011">
              <w:rPr>
                <w:lang w:eastAsia="en-AU"/>
              </w:rPr>
              <w:t>48 per cent</w:t>
            </w:r>
          </w:p>
        </w:tc>
        <w:tc>
          <w:tcPr>
            <w:tcW w:w="2551" w:type="dxa"/>
            <w:tcBorders>
              <w:top w:val="nil"/>
              <w:left w:val="nil"/>
              <w:bottom w:val="single" w:sz="4" w:space="0" w:color="auto"/>
              <w:right w:val="single" w:sz="4" w:space="0" w:color="auto"/>
            </w:tcBorders>
            <w:shd w:val="clear" w:color="auto" w:fill="auto"/>
            <w:vAlign w:val="center"/>
          </w:tcPr>
          <w:p w14:paraId="2D66DA35" w14:textId="77777777" w:rsidR="000552EE" w:rsidRDefault="000552EE" w:rsidP="00F360E3">
            <w:pPr>
              <w:rPr>
                <w:lang w:eastAsia="en-AU"/>
              </w:rPr>
            </w:pPr>
            <w:r w:rsidRPr="759DB011">
              <w:rPr>
                <w:lang w:eastAsia="en-AU"/>
              </w:rPr>
              <w:t>55 per cent</w:t>
            </w:r>
          </w:p>
        </w:tc>
      </w:tr>
      <w:tr w:rsidR="000552EE" w14:paraId="3E0A8ED2"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41765EC6" w14:textId="77777777" w:rsidR="000552EE" w:rsidRDefault="000552EE" w:rsidP="00F360E3">
            <w:pPr>
              <w:rPr>
                <w:lang w:eastAsia="en-AU"/>
              </w:rPr>
            </w:pPr>
            <w:r w:rsidRPr="759DB011">
              <w:rPr>
                <w:lang w:eastAsia="en-AU"/>
              </w:rPr>
              <w:lastRenderedPageBreak/>
              <w:t>2019</w:t>
            </w:r>
          </w:p>
        </w:tc>
        <w:tc>
          <w:tcPr>
            <w:tcW w:w="3208" w:type="dxa"/>
            <w:tcBorders>
              <w:top w:val="nil"/>
              <w:left w:val="nil"/>
              <w:bottom w:val="single" w:sz="4" w:space="0" w:color="auto"/>
              <w:right w:val="single" w:sz="4" w:space="0" w:color="auto"/>
            </w:tcBorders>
            <w:shd w:val="clear" w:color="auto" w:fill="auto"/>
            <w:vAlign w:val="center"/>
          </w:tcPr>
          <w:p w14:paraId="751E9656" w14:textId="77777777" w:rsidR="000552EE" w:rsidRDefault="000552EE" w:rsidP="00F360E3">
            <w:pPr>
              <w:rPr>
                <w:lang w:eastAsia="en-AU"/>
              </w:rPr>
            </w:pPr>
            <w:r w:rsidRPr="759DB011">
              <w:rPr>
                <w:lang w:eastAsia="en-AU"/>
              </w:rPr>
              <w:t>54 per cent</w:t>
            </w:r>
          </w:p>
        </w:tc>
        <w:tc>
          <w:tcPr>
            <w:tcW w:w="2551" w:type="dxa"/>
            <w:tcBorders>
              <w:top w:val="nil"/>
              <w:left w:val="nil"/>
              <w:bottom w:val="single" w:sz="4" w:space="0" w:color="auto"/>
              <w:right w:val="single" w:sz="4" w:space="0" w:color="auto"/>
            </w:tcBorders>
            <w:shd w:val="clear" w:color="auto" w:fill="auto"/>
            <w:vAlign w:val="center"/>
          </w:tcPr>
          <w:p w14:paraId="317A5B3A" w14:textId="77777777" w:rsidR="000552EE" w:rsidRDefault="000552EE" w:rsidP="00F360E3">
            <w:pPr>
              <w:rPr>
                <w:lang w:eastAsia="en-AU"/>
              </w:rPr>
            </w:pPr>
            <w:r w:rsidRPr="759DB011">
              <w:rPr>
                <w:lang w:eastAsia="en-AU"/>
              </w:rPr>
              <w:t>54 per cent</w:t>
            </w:r>
          </w:p>
        </w:tc>
      </w:tr>
      <w:tr w:rsidR="000552EE" w14:paraId="3F8C3250"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3615E475" w14:textId="77777777" w:rsidR="000552EE" w:rsidRDefault="000552EE" w:rsidP="00F360E3">
            <w:pPr>
              <w:rPr>
                <w:lang w:eastAsia="en-AU"/>
              </w:rPr>
            </w:pPr>
            <w:r w:rsidRPr="759DB011">
              <w:rPr>
                <w:lang w:eastAsia="en-AU"/>
              </w:rPr>
              <w:t>2020</w:t>
            </w:r>
          </w:p>
        </w:tc>
        <w:tc>
          <w:tcPr>
            <w:tcW w:w="3208" w:type="dxa"/>
            <w:tcBorders>
              <w:top w:val="nil"/>
              <w:left w:val="nil"/>
              <w:bottom w:val="single" w:sz="4" w:space="0" w:color="auto"/>
              <w:right w:val="single" w:sz="4" w:space="0" w:color="auto"/>
            </w:tcBorders>
            <w:shd w:val="clear" w:color="auto" w:fill="auto"/>
            <w:vAlign w:val="center"/>
          </w:tcPr>
          <w:p w14:paraId="00EA3200" w14:textId="77777777" w:rsidR="000552EE" w:rsidRDefault="000552EE" w:rsidP="00F360E3">
            <w:pPr>
              <w:rPr>
                <w:lang w:eastAsia="en-AU"/>
              </w:rPr>
            </w:pPr>
            <w:r w:rsidRPr="759DB011">
              <w:rPr>
                <w:lang w:eastAsia="en-AU"/>
              </w:rPr>
              <w:t>67 per cent</w:t>
            </w:r>
          </w:p>
        </w:tc>
        <w:tc>
          <w:tcPr>
            <w:tcW w:w="2551" w:type="dxa"/>
            <w:tcBorders>
              <w:top w:val="nil"/>
              <w:left w:val="nil"/>
              <w:bottom w:val="single" w:sz="4" w:space="0" w:color="auto"/>
              <w:right w:val="single" w:sz="4" w:space="0" w:color="auto"/>
            </w:tcBorders>
            <w:shd w:val="clear" w:color="auto" w:fill="auto"/>
            <w:vAlign w:val="center"/>
          </w:tcPr>
          <w:p w14:paraId="338CE724" w14:textId="77777777" w:rsidR="000552EE" w:rsidRDefault="000552EE" w:rsidP="00F360E3">
            <w:pPr>
              <w:rPr>
                <w:lang w:eastAsia="en-AU"/>
              </w:rPr>
            </w:pPr>
            <w:r w:rsidRPr="759DB011">
              <w:rPr>
                <w:lang w:eastAsia="en-AU"/>
              </w:rPr>
              <w:t>52 per cent</w:t>
            </w:r>
          </w:p>
        </w:tc>
      </w:tr>
      <w:tr w:rsidR="000552EE" w14:paraId="0AFD3B87"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0072EB10" w14:textId="77777777" w:rsidR="000552EE" w:rsidRDefault="000552EE" w:rsidP="00F360E3">
            <w:pPr>
              <w:rPr>
                <w:lang w:eastAsia="en-AU"/>
              </w:rPr>
            </w:pPr>
            <w:r w:rsidRPr="759DB011">
              <w:rPr>
                <w:lang w:eastAsia="en-AU"/>
              </w:rPr>
              <w:t>2021</w:t>
            </w:r>
          </w:p>
        </w:tc>
        <w:tc>
          <w:tcPr>
            <w:tcW w:w="3208" w:type="dxa"/>
            <w:tcBorders>
              <w:top w:val="nil"/>
              <w:left w:val="nil"/>
              <w:bottom w:val="single" w:sz="4" w:space="0" w:color="auto"/>
              <w:right w:val="single" w:sz="4" w:space="0" w:color="auto"/>
            </w:tcBorders>
            <w:shd w:val="clear" w:color="auto" w:fill="auto"/>
            <w:vAlign w:val="center"/>
          </w:tcPr>
          <w:p w14:paraId="53B08540" w14:textId="77777777" w:rsidR="000552EE" w:rsidRDefault="000552EE" w:rsidP="00F360E3">
            <w:pPr>
              <w:rPr>
                <w:lang w:eastAsia="en-AU"/>
              </w:rPr>
            </w:pPr>
            <w:r w:rsidRPr="759DB011">
              <w:rPr>
                <w:lang w:eastAsia="en-AU"/>
              </w:rPr>
              <w:t>68 per cent</w:t>
            </w:r>
          </w:p>
        </w:tc>
        <w:tc>
          <w:tcPr>
            <w:tcW w:w="2551" w:type="dxa"/>
            <w:tcBorders>
              <w:top w:val="nil"/>
              <w:left w:val="nil"/>
              <w:bottom w:val="single" w:sz="4" w:space="0" w:color="auto"/>
              <w:right w:val="single" w:sz="4" w:space="0" w:color="auto"/>
            </w:tcBorders>
            <w:shd w:val="clear" w:color="auto" w:fill="auto"/>
            <w:vAlign w:val="center"/>
          </w:tcPr>
          <w:p w14:paraId="35F4CA2F" w14:textId="77777777" w:rsidR="000552EE" w:rsidRDefault="000552EE" w:rsidP="00F360E3">
            <w:pPr>
              <w:rPr>
                <w:lang w:eastAsia="en-AU"/>
              </w:rPr>
            </w:pPr>
            <w:r w:rsidRPr="759DB011">
              <w:rPr>
                <w:lang w:eastAsia="en-AU"/>
              </w:rPr>
              <w:t>50 per cent</w:t>
            </w:r>
          </w:p>
        </w:tc>
      </w:tr>
      <w:tr w:rsidR="000552EE" w14:paraId="536379A6"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2FE16457" w14:textId="77777777" w:rsidR="000552EE" w:rsidRDefault="000552EE" w:rsidP="00F360E3">
            <w:pPr>
              <w:rPr>
                <w:lang w:eastAsia="en-AU"/>
              </w:rPr>
            </w:pPr>
            <w:r w:rsidRPr="759DB011">
              <w:rPr>
                <w:lang w:eastAsia="en-AU"/>
              </w:rPr>
              <w:t>2022</w:t>
            </w:r>
          </w:p>
        </w:tc>
        <w:tc>
          <w:tcPr>
            <w:tcW w:w="3208" w:type="dxa"/>
            <w:tcBorders>
              <w:top w:val="nil"/>
              <w:left w:val="nil"/>
              <w:bottom w:val="single" w:sz="4" w:space="0" w:color="auto"/>
              <w:right w:val="single" w:sz="4" w:space="0" w:color="auto"/>
            </w:tcBorders>
            <w:shd w:val="clear" w:color="auto" w:fill="auto"/>
            <w:vAlign w:val="center"/>
          </w:tcPr>
          <w:p w14:paraId="74D31D37" w14:textId="77777777" w:rsidR="000552EE" w:rsidRDefault="000552EE" w:rsidP="00F360E3">
            <w:pPr>
              <w:rPr>
                <w:lang w:eastAsia="en-AU"/>
              </w:rPr>
            </w:pPr>
            <w:r w:rsidRPr="759DB011">
              <w:rPr>
                <w:lang w:eastAsia="en-AU"/>
              </w:rPr>
              <w:t>46 per cent</w:t>
            </w:r>
          </w:p>
        </w:tc>
        <w:tc>
          <w:tcPr>
            <w:tcW w:w="2551" w:type="dxa"/>
            <w:tcBorders>
              <w:top w:val="nil"/>
              <w:left w:val="nil"/>
              <w:bottom w:val="single" w:sz="4" w:space="0" w:color="auto"/>
              <w:right w:val="single" w:sz="4" w:space="0" w:color="auto"/>
            </w:tcBorders>
            <w:shd w:val="clear" w:color="auto" w:fill="auto"/>
            <w:vAlign w:val="center"/>
          </w:tcPr>
          <w:p w14:paraId="6214CF59" w14:textId="77777777" w:rsidR="000552EE" w:rsidRDefault="000552EE" w:rsidP="00F360E3">
            <w:pPr>
              <w:rPr>
                <w:lang w:eastAsia="en-AU"/>
              </w:rPr>
            </w:pPr>
            <w:r w:rsidRPr="759DB011">
              <w:rPr>
                <w:lang w:eastAsia="en-AU"/>
              </w:rPr>
              <w:t>49 per cent</w:t>
            </w:r>
          </w:p>
        </w:tc>
      </w:tr>
      <w:tr w:rsidR="000552EE" w14:paraId="115B5C52"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2A3EB9DC" w14:textId="77777777" w:rsidR="000552EE" w:rsidRDefault="000552EE" w:rsidP="00F360E3">
            <w:pPr>
              <w:rPr>
                <w:lang w:eastAsia="en-AU"/>
              </w:rPr>
            </w:pPr>
            <w:r w:rsidRPr="759DB011">
              <w:rPr>
                <w:lang w:eastAsia="en-AU"/>
              </w:rPr>
              <w:t>2023</w:t>
            </w:r>
          </w:p>
        </w:tc>
        <w:tc>
          <w:tcPr>
            <w:tcW w:w="3208" w:type="dxa"/>
            <w:tcBorders>
              <w:top w:val="nil"/>
              <w:left w:val="nil"/>
              <w:bottom w:val="single" w:sz="4" w:space="0" w:color="auto"/>
              <w:right w:val="single" w:sz="4" w:space="0" w:color="auto"/>
            </w:tcBorders>
            <w:shd w:val="clear" w:color="auto" w:fill="auto"/>
            <w:vAlign w:val="center"/>
          </w:tcPr>
          <w:p w14:paraId="436CFD9F" w14:textId="77777777" w:rsidR="000552EE" w:rsidRDefault="000552EE" w:rsidP="00F360E3">
            <w:pPr>
              <w:rPr>
                <w:lang w:eastAsia="en-AU"/>
              </w:rPr>
            </w:pPr>
            <w:r w:rsidRPr="759DB011">
              <w:rPr>
                <w:lang w:eastAsia="en-AU"/>
              </w:rPr>
              <w:t>43 per cent</w:t>
            </w:r>
          </w:p>
        </w:tc>
        <w:tc>
          <w:tcPr>
            <w:tcW w:w="2551" w:type="dxa"/>
            <w:tcBorders>
              <w:top w:val="nil"/>
              <w:left w:val="nil"/>
              <w:bottom w:val="single" w:sz="4" w:space="0" w:color="auto"/>
              <w:right w:val="single" w:sz="4" w:space="0" w:color="auto"/>
            </w:tcBorders>
            <w:shd w:val="clear" w:color="auto" w:fill="auto"/>
            <w:vAlign w:val="center"/>
          </w:tcPr>
          <w:p w14:paraId="474A884A" w14:textId="77777777" w:rsidR="000552EE" w:rsidRDefault="000552EE" w:rsidP="00F360E3">
            <w:pPr>
              <w:rPr>
                <w:lang w:eastAsia="en-AU"/>
              </w:rPr>
            </w:pPr>
            <w:r w:rsidRPr="759DB011">
              <w:rPr>
                <w:lang w:eastAsia="en-AU"/>
              </w:rPr>
              <w:t>47 per cent</w:t>
            </w:r>
          </w:p>
        </w:tc>
      </w:tr>
      <w:tr w:rsidR="000552EE" w14:paraId="16656E51"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vAlign w:val="center"/>
          </w:tcPr>
          <w:p w14:paraId="78F17CAB" w14:textId="77777777" w:rsidR="000552EE" w:rsidRDefault="000552EE" w:rsidP="00F360E3">
            <w:pPr>
              <w:rPr>
                <w:lang w:eastAsia="en-AU"/>
              </w:rPr>
            </w:pPr>
            <w:r w:rsidRPr="759DB011">
              <w:rPr>
                <w:lang w:eastAsia="en-AU"/>
              </w:rPr>
              <w:t>2024</w:t>
            </w:r>
          </w:p>
        </w:tc>
        <w:tc>
          <w:tcPr>
            <w:tcW w:w="3208" w:type="dxa"/>
            <w:tcBorders>
              <w:top w:val="nil"/>
              <w:left w:val="nil"/>
              <w:bottom w:val="single" w:sz="4" w:space="0" w:color="auto"/>
              <w:right w:val="single" w:sz="4" w:space="0" w:color="auto"/>
            </w:tcBorders>
            <w:shd w:val="clear" w:color="auto" w:fill="auto"/>
            <w:vAlign w:val="center"/>
          </w:tcPr>
          <w:p w14:paraId="6348A5E1" w14:textId="77777777" w:rsidR="000552EE" w:rsidRDefault="000552EE" w:rsidP="00F360E3">
            <w:pPr>
              <w:rPr>
                <w:lang w:eastAsia="en-AU"/>
              </w:rPr>
            </w:pPr>
            <w:r w:rsidRPr="759DB011">
              <w:rPr>
                <w:lang w:eastAsia="en-AU"/>
              </w:rPr>
              <w:t>35 per cent</w:t>
            </w:r>
          </w:p>
        </w:tc>
        <w:tc>
          <w:tcPr>
            <w:tcW w:w="2551" w:type="dxa"/>
            <w:tcBorders>
              <w:top w:val="nil"/>
              <w:left w:val="nil"/>
              <w:bottom w:val="single" w:sz="4" w:space="0" w:color="auto"/>
              <w:right w:val="single" w:sz="4" w:space="0" w:color="auto"/>
            </w:tcBorders>
            <w:shd w:val="clear" w:color="auto" w:fill="auto"/>
            <w:vAlign w:val="center"/>
          </w:tcPr>
          <w:p w14:paraId="75108905" w14:textId="77777777" w:rsidR="000552EE" w:rsidRDefault="000552EE" w:rsidP="00F360E3">
            <w:pPr>
              <w:rPr>
                <w:lang w:eastAsia="en-AU"/>
              </w:rPr>
            </w:pPr>
            <w:r w:rsidRPr="759DB011">
              <w:rPr>
                <w:lang w:eastAsia="en-AU"/>
              </w:rPr>
              <w:t>45 per cent</w:t>
            </w:r>
          </w:p>
        </w:tc>
      </w:tr>
    </w:tbl>
    <w:p w14:paraId="64CD9C2F" w14:textId="616D26EE" w:rsidR="00C4622C" w:rsidRPr="005366DB" w:rsidRDefault="00BD16E6" w:rsidP="00596C64">
      <w:pPr>
        <w:pStyle w:val="Caption"/>
        <w:spacing w:before="360"/>
      </w:pPr>
      <w:bookmarkStart w:id="50" w:name="_Ref183877984"/>
      <w:bookmarkEnd w:id="49"/>
      <w:r w:rsidRPr="00BD16E6">
        <w:rPr>
          <w:b/>
          <w:bCs/>
        </w:rPr>
        <w:t xml:space="preserve">Table </w:t>
      </w:r>
      <w:r w:rsidRPr="00BD16E6">
        <w:rPr>
          <w:b/>
          <w:bCs/>
        </w:rPr>
        <w:fldChar w:fldCharType="begin"/>
      </w:r>
      <w:r w:rsidRPr="00BD16E6">
        <w:rPr>
          <w:b/>
          <w:bCs/>
        </w:rPr>
        <w:instrText xml:space="preserve"> SEQ Table \* ARABIC </w:instrText>
      </w:r>
      <w:r w:rsidRPr="00BD16E6">
        <w:rPr>
          <w:b/>
          <w:bCs/>
        </w:rPr>
        <w:fldChar w:fldCharType="separate"/>
      </w:r>
      <w:r w:rsidR="00DC68AF">
        <w:rPr>
          <w:b/>
          <w:bCs/>
          <w:noProof/>
        </w:rPr>
        <w:t>16</w:t>
      </w:r>
      <w:r w:rsidRPr="00BD16E6">
        <w:rPr>
          <w:b/>
          <w:bCs/>
        </w:rPr>
        <w:fldChar w:fldCharType="end"/>
      </w:r>
      <w:bookmarkEnd w:id="50"/>
      <w:r>
        <w:t xml:space="preserve"> </w:t>
      </w:r>
      <w:r w:rsidRPr="00C85A0E">
        <w:t xml:space="preserve">In the most recent full financial year (year ending 30 June 2024) did your organisation make a loss, break even or make a profit (surplus) </w:t>
      </w:r>
      <w:proofErr w:type="gramStart"/>
      <w:r w:rsidRPr="00C85A0E">
        <w:t>in regard to</w:t>
      </w:r>
      <w:proofErr w:type="gramEnd"/>
      <w:r w:rsidRPr="00C85A0E">
        <w:t xml:space="preserve"> its disability services? Statement </w:t>
      </w:r>
      <w:r w:rsidRPr="00C85A0E">
        <w:rPr>
          <w:rFonts w:hint="eastAsia"/>
        </w:rPr>
        <w:t>–</w:t>
      </w:r>
      <w:r w:rsidRPr="00C85A0E">
        <w:t xml:space="preserve"> We broke even or were close to break-even</w:t>
      </w:r>
    </w:p>
    <w:tbl>
      <w:tblPr>
        <w:tblW w:w="7083" w:type="dxa"/>
        <w:tblLook w:val="04A0" w:firstRow="1" w:lastRow="0" w:firstColumn="1" w:lastColumn="0" w:noHBand="0" w:noVBand="1"/>
        <w:tblCaption w:val="Table 16 In the most recent full financial year (year ending 30 June 2024) did your organisation make a loss, break even or make a profit (surplus) in regard to its disability services? Statement – We broke even or were close to break-even"/>
        <w:tblDescription w:val="A table showing the percentage of organisations reporting break-even for the year ending 30 June 2024. Disability services only. Trend data from 2016 to 2024."/>
      </w:tblPr>
      <w:tblGrid>
        <w:gridCol w:w="1040"/>
        <w:gridCol w:w="3066"/>
        <w:gridCol w:w="2977"/>
      </w:tblGrid>
      <w:tr w:rsidR="00F360E3" w:rsidRPr="0012533D" w14:paraId="624CF569" w14:textId="77777777" w:rsidTr="0012533D">
        <w:trPr>
          <w:trHeight w:val="307"/>
          <w:tblHeader/>
        </w:trPr>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B6754A" w14:textId="77777777" w:rsidR="00F360E3" w:rsidRPr="0012533D" w:rsidRDefault="00F360E3" w:rsidP="0012533D">
            <w:pPr>
              <w:rPr>
                <w:b/>
                <w:bCs/>
                <w:lang w:eastAsia="en-AU"/>
              </w:rPr>
            </w:pPr>
            <w:bookmarkStart w:id="51" w:name="Title_Table_16"/>
            <w:bookmarkStart w:id="52" w:name="_Ref183795605"/>
            <w:bookmarkEnd w:id="51"/>
            <w:r w:rsidRPr="0012533D">
              <w:rPr>
                <w:b/>
                <w:bCs/>
                <w:lang w:eastAsia="en-AU"/>
              </w:rPr>
              <w:t>Year</w:t>
            </w:r>
          </w:p>
        </w:tc>
        <w:tc>
          <w:tcPr>
            <w:tcW w:w="306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BE7911" w14:textId="77777777" w:rsidR="00F360E3" w:rsidRPr="0012533D" w:rsidRDefault="00F360E3" w:rsidP="0012533D">
            <w:pPr>
              <w:rPr>
                <w:b/>
                <w:bCs/>
                <w:lang w:eastAsia="en-AU"/>
              </w:rPr>
            </w:pPr>
            <w:r w:rsidRPr="0012533D">
              <w:rPr>
                <w:b/>
                <w:bCs/>
                <w:lang w:eastAsia="en-AU"/>
              </w:rPr>
              <w:t>We broke even or were close to break-even</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374B35" w14:textId="77777777" w:rsidR="00F360E3" w:rsidRPr="0012533D" w:rsidRDefault="00F360E3" w:rsidP="0012533D">
            <w:pPr>
              <w:rPr>
                <w:b/>
                <w:bCs/>
                <w:lang w:eastAsia="en-AU"/>
              </w:rPr>
            </w:pPr>
            <w:r w:rsidRPr="0012533D">
              <w:rPr>
                <w:b/>
                <w:bCs/>
                <w:lang w:eastAsia="en-AU"/>
              </w:rPr>
              <w:t>Broke even or close to break-even trend</w:t>
            </w:r>
          </w:p>
        </w:tc>
      </w:tr>
      <w:tr w:rsidR="00F360E3" w:rsidRPr="005560C4" w14:paraId="49E10273"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6FB016" w14:textId="77777777" w:rsidR="00F360E3" w:rsidRPr="005560C4" w:rsidRDefault="00F360E3" w:rsidP="00F360E3">
            <w:pPr>
              <w:rPr>
                <w:lang w:eastAsia="en-AU"/>
              </w:rPr>
            </w:pPr>
            <w:r w:rsidRPr="005560C4">
              <w:rPr>
                <w:lang w:eastAsia="en-AU"/>
              </w:rPr>
              <w:t>2016</w:t>
            </w:r>
          </w:p>
        </w:tc>
        <w:tc>
          <w:tcPr>
            <w:tcW w:w="3066" w:type="dxa"/>
            <w:tcBorders>
              <w:top w:val="nil"/>
              <w:left w:val="nil"/>
              <w:bottom w:val="single" w:sz="4" w:space="0" w:color="auto"/>
              <w:right w:val="single" w:sz="4" w:space="0" w:color="auto"/>
            </w:tcBorders>
            <w:shd w:val="clear" w:color="auto" w:fill="auto"/>
            <w:noWrap/>
            <w:vAlign w:val="center"/>
            <w:hideMark/>
          </w:tcPr>
          <w:p w14:paraId="00C307E6" w14:textId="77777777" w:rsidR="00F360E3" w:rsidRPr="005560C4" w:rsidRDefault="00F360E3" w:rsidP="00F360E3">
            <w:pPr>
              <w:rPr>
                <w:lang w:eastAsia="en-AU"/>
              </w:rPr>
            </w:pPr>
            <w:r w:rsidRPr="005560C4">
              <w:rPr>
                <w:lang w:eastAsia="en-AU"/>
              </w:rPr>
              <w:t>20 per cent</w:t>
            </w:r>
          </w:p>
        </w:tc>
        <w:tc>
          <w:tcPr>
            <w:tcW w:w="2977" w:type="dxa"/>
            <w:tcBorders>
              <w:top w:val="nil"/>
              <w:left w:val="nil"/>
              <w:bottom w:val="single" w:sz="4" w:space="0" w:color="auto"/>
              <w:right w:val="single" w:sz="4" w:space="0" w:color="auto"/>
            </w:tcBorders>
            <w:shd w:val="clear" w:color="auto" w:fill="auto"/>
            <w:noWrap/>
            <w:vAlign w:val="center"/>
            <w:hideMark/>
          </w:tcPr>
          <w:p w14:paraId="5512B61B" w14:textId="77777777" w:rsidR="00F360E3" w:rsidRPr="005560C4" w:rsidRDefault="00F360E3" w:rsidP="00F360E3">
            <w:pPr>
              <w:rPr>
                <w:lang w:eastAsia="en-AU"/>
              </w:rPr>
            </w:pPr>
            <w:r w:rsidRPr="005560C4">
              <w:rPr>
                <w:lang w:eastAsia="en-AU"/>
              </w:rPr>
              <w:t>19</w:t>
            </w:r>
            <w:r>
              <w:rPr>
                <w:lang w:eastAsia="en-AU"/>
              </w:rPr>
              <w:t xml:space="preserve"> per cent</w:t>
            </w:r>
          </w:p>
        </w:tc>
      </w:tr>
      <w:tr w:rsidR="00F360E3" w:rsidRPr="005560C4" w14:paraId="5FCE8C57"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827D682" w14:textId="77777777" w:rsidR="00F360E3" w:rsidRPr="005560C4" w:rsidRDefault="00F360E3" w:rsidP="00F360E3">
            <w:pPr>
              <w:rPr>
                <w:lang w:eastAsia="en-AU"/>
              </w:rPr>
            </w:pPr>
            <w:r w:rsidRPr="005560C4">
              <w:rPr>
                <w:lang w:eastAsia="en-AU"/>
              </w:rPr>
              <w:t>2017</w:t>
            </w:r>
          </w:p>
        </w:tc>
        <w:tc>
          <w:tcPr>
            <w:tcW w:w="3066" w:type="dxa"/>
            <w:tcBorders>
              <w:top w:val="nil"/>
              <w:left w:val="nil"/>
              <w:bottom w:val="single" w:sz="4" w:space="0" w:color="auto"/>
              <w:right w:val="single" w:sz="4" w:space="0" w:color="auto"/>
            </w:tcBorders>
            <w:shd w:val="clear" w:color="auto" w:fill="auto"/>
            <w:noWrap/>
            <w:vAlign w:val="center"/>
            <w:hideMark/>
          </w:tcPr>
          <w:p w14:paraId="0B5D262D" w14:textId="77777777" w:rsidR="00F360E3" w:rsidRPr="005560C4" w:rsidRDefault="00F360E3" w:rsidP="00F360E3">
            <w:pPr>
              <w:rPr>
                <w:lang w:eastAsia="en-AU"/>
              </w:rPr>
            </w:pPr>
            <w:r w:rsidRPr="005560C4">
              <w:rPr>
                <w:lang w:eastAsia="en-AU"/>
              </w:rPr>
              <w:t>20</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0F8E43DF" w14:textId="77777777" w:rsidR="00F360E3" w:rsidRPr="005560C4" w:rsidRDefault="00F360E3" w:rsidP="00F360E3">
            <w:pPr>
              <w:rPr>
                <w:lang w:eastAsia="en-AU"/>
              </w:rPr>
            </w:pPr>
            <w:r w:rsidRPr="005560C4">
              <w:rPr>
                <w:lang w:eastAsia="en-AU"/>
              </w:rPr>
              <w:t>18</w:t>
            </w:r>
            <w:r>
              <w:rPr>
                <w:lang w:eastAsia="en-AU"/>
              </w:rPr>
              <w:t xml:space="preserve"> per cent</w:t>
            </w:r>
          </w:p>
        </w:tc>
      </w:tr>
      <w:tr w:rsidR="00F360E3" w:rsidRPr="005560C4" w14:paraId="74E81C5D"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1EAC6A4" w14:textId="77777777" w:rsidR="00F360E3" w:rsidRPr="005560C4" w:rsidRDefault="00F360E3" w:rsidP="00F360E3">
            <w:pPr>
              <w:rPr>
                <w:lang w:eastAsia="en-AU"/>
              </w:rPr>
            </w:pPr>
            <w:r w:rsidRPr="005560C4">
              <w:rPr>
                <w:lang w:eastAsia="en-AU"/>
              </w:rPr>
              <w:t>2018</w:t>
            </w:r>
          </w:p>
        </w:tc>
        <w:tc>
          <w:tcPr>
            <w:tcW w:w="3066" w:type="dxa"/>
            <w:tcBorders>
              <w:top w:val="nil"/>
              <w:left w:val="nil"/>
              <w:bottom w:val="single" w:sz="4" w:space="0" w:color="auto"/>
              <w:right w:val="single" w:sz="4" w:space="0" w:color="auto"/>
            </w:tcBorders>
            <w:shd w:val="clear" w:color="auto" w:fill="auto"/>
            <w:noWrap/>
            <w:vAlign w:val="center"/>
            <w:hideMark/>
          </w:tcPr>
          <w:p w14:paraId="76D33DAB" w14:textId="77777777" w:rsidR="00F360E3" w:rsidRPr="005560C4" w:rsidRDefault="00F360E3" w:rsidP="00F360E3">
            <w:pPr>
              <w:rPr>
                <w:lang w:eastAsia="en-AU"/>
              </w:rPr>
            </w:pPr>
            <w:r w:rsidRPr="005560C4">
              <w:rPr>
                <w:lang w:eastAsia="en-AU"/>
              </w:rPr>
              <w:t>18</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20F1BCE3" w14:textId="77777777" w:rsidR="00F360E3" w:rsidRPr="005560C4" w:rsidRDefault="00F360E3" w:rsidP="00F360E3">
            <w:pPr>
              <w:rPr>
                <w:lang w:eastAsia="en-AU"/>
              </w:rPr>
            </w:pPr>
            <w:r w:rsidRPr="005560C4">
              <w:rPr>
                <w:lang w:eastAsia="en-AU"/>
              </w:rPr>
              <w:t>18</w:t>
            </w:r>
            <w:r>
              <w:rPr>
                <w:lang w:eastAsia="en-AU"/>
              </w:rPr>
              <w:t xml:space="preserve"> per cent</w:t>
            </w:r>
          </w:p>
        </w:tc>
      </w:tr>
      <w:tr w:rsidR="00F360E3" w:rsidRPr="005560C4" w14:paraId="6AC7BFE4"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7951C11" w14:textId="77777777" w:rsidR="00F360E3" w:rsidRPr="005560C4" w:rsidRDefault="00F360E3" w:rsidP="00F360E3">
            <w:pPr>
              <w:rPr>
                <w:lang w:eastAsia="en-AU"/>
              </w:rPr>
            </w:pPr>
            <w:r w:rsidRPr="005560C4">
              <w:rPr>
                <w:lang w:eastAsia="en-AU"/>
              </w:rPr>
              <w:t>2019</w:t>
            </w:r>
          </w:p>
        </w:tc>
        <w:tc>
          <w:tcPr>
            <w:tcW w:w="3066" w:type="dxa"/>
            <w:tcBorders>
              <w:top w:val="nil"/>
              <w:left w:val="nil"/>
              <w:bottom w:val="single" w:sz="4" w:space="0" w:color="auto"/>
              <w:right w:val="single" w:sz="4" w:space="0" w:color="auto"/>
            </w:tcBorders>
            <w:shd w:val="clear" w:color="auto" w:fill="auto"/>
            <w:noWrap/>
            <w:vAlign w:val="center"/>
            <w:hideMark/>
          </w:tcPr>
          <w:p w14:paraId="7E626A73" w14:textId="77777777" w:rsidR="00F360E3" w:rsidRPr="005560C4" w:rsidRDefault="00F360E3" w:rsidP="00F360E3">
            <w:pPr>
              <w:rPr>
                <w:lang w:eastAsia="en-AU"/>
              </w:rPr>
            </w:pPr>
            <w:r w:rsidRPr="005560C4">
              <w:rPr>
                <w:lang w:eastAsia="en-AU"/>
              </w:rPr>
              <w:t>17</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209AB969" w14:textId="77777777" w:rsidR="00F360E3" w:rsidRPr="005560C4" w:rsidRDefault="00F360E3" w:rsidP="00F360E3">
            <w:pPr>
              <w:rPr>
                <w:lang w:eastAsia="en-AU"/>
              </w:rPr>
            </w:pPr>
            <w:r w:rsidRPr="005560C4">
              <w:rPr>
                <w:lang w:eastAsia="en-AU"/>
              </w:rPr>
              <w:t>18</w:t>
            </w:r>
            <w:r>
              <w:rPr>
                <w:lang w:eastAsia="en-AU"/>
              </w:rPr>
              <w:t xml:space="preserve"> per cent</w:t>
            </w:r>
          </w:p>
        </w:tc>
      </w:tr>
      <w:tr w:rsidR="00F360E3" w:rsidRPr="005560C4" w14:paraId="352CBB9A"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C198A5D" w14:textId="77777777" w:rsidR="00F360E3" w:rsidRPr="005560C4" w:rsidRDefault="00F360E3" w:rsidP="00F360E3">
            <w:pPr>
              <w:rPr>
                <w:lang w:eastAsia="en-AU"/>
              </w:rPr>
            </w:pPr>
            <w:r w:rsidRPr="005560C4">
              <w:rPr>
                <w:lang w:eastAsia="en-AU"/>
              </w:rPr>
              <w:t>2020</w:t>
            </w:r>
          </w:p>
        </w:tc>
        <w:tc>
          <w:tcPr>
            <w:tcW w:w="3066" w:type="dxa"/>
            <w:tcBorders>
              <w:top w:val="nil"/>
              <w:left w:val="nil"/>
              <w:bottom w:val="single" w:sz="4" w:space="0" w:color="auto"/>
              <w:right w:val="single" w:sz="4" w:space="0" w:color="auto"/>
            </w:tcBorders>
            <w:shd w:val="clear" w:color="auto" w:fill="auto"/>
            <w:noWrap/>
            <w:vAlign w:val="center"/>
            <w:hideMark/>
          </w:tcPr>
          <w:p w14:paraId="4ADDC111" w14:textId="77777777" w:rsidR="00F360E3" w:rsidRPr="005560C4" w:rsidRDefault="00F360E3" w:rsidP="00F360E3">
            <w:pPr>
              <w:rPr>
                <w:lang w:eastAsia="en-AU"/>
              </w:rPr>
            </w:pPr>
            <w:r w:rsidRPr="005560C4">
              <w:rPr>
                <w:lang w:eastAsia="en-AU"/>
              </w:rPr>
              <w:t>12</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38447441" w14:textId="77777777" w:rsidR="00F360E3" w:rsidRPr="005560C4" w:rsidRDefault="00F360E3" w:rsidP="00F360E3">
            <w:pPr>
              <w:rPr>
                <w:lang w:eastAsia="en-AU"/>
              </w:rPr>
            </w:pPr>
            <w:r w:rsidRPr="005560C4">
              <w:rPr>
                <w:lang w:eastAsia="en-AU"/>
              </w:rPr>
              <w:t>17</w:t>
            </w:r>
            <w:r>
              <w:rPr>
                <w:lang w:eastAsia="en-AU"/>
              </w:rPr>
              <w:t xml:space="preserve"> per cent</w:t>
            </w:r>
          </w:p>
        </w:tc>
      </w:tr>
      <w:tr w:rsidR="00F360E3" w:rsidRPr="005560C4" w14:paraId="1F06B324"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025E28F" w14:textId="77777777" w:rsidR="00F360E3" w:rsidRPr="005560C4" w:rsidRDefault="00F360E3" w:rsidP="00F360E3">
            <w:pPr>
              <w:rPr>
                <w:lang w:eastAsia="en-AU"/>
              </w:rPr>
            </w:pPr>
            <w:r w:rsidRPr="005560C4">
              <w:rPr>
                <w:lang w:eastAsia="en-AU"/>
              </w:rPr>
              <w:t>2021</w:t>
            </w:r>
          </w:p>
        </w:tc>
        <w:tc>
          <w:tcPr>
            <w:tcW w:w="3066" w:type="dxa"/>
            <w:tcBorders>
              <w:top w:val="nil"/>
              <w:left w:val="nil"/>
              <w:bottom w:val="single" w:sz="4" w:space="0" w:color="auto"/>
              <w:right w:val="single" w:sz="4" w:space="0" w:color="auto"/>
            </w:tcBorders>
            <w:shd w:val="clear" w:color="auto" w:fill="auto"/>
            <w:noWrap/>
            <w:vAlign w:val="center"/>
            <w:hideMark/>
          </w:tcPr>
          <w:p w14:paraId="187132BC" w14:textId="77777777" w:rsidR="00F360E3" w:rsidRPr="005560C4" w:rsidRDefault="00F360E3" w:rsidP="00F360E3">
            <w:pPr>
              <w:rPr>
                <w:lang w:eastAsia="en-AU"/>
              </w:rPr>
            </w:pPr>
            <w:r w:rsidRPr="005560C4">
              <w:rPr>
                <w:lang w:eastAsia="en-AU"/>
              </w:rPr>
              <w:t>10</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49B42545" w14:textId="77777777" w:rsidR="00F360E3" w:rsidRPr="005560C4" w:rsidRDefault="00F360E3" w:rsidP="00F360E3">
            <w:pPr>
              <w:rPr>
                <w:lang w:eastAsia="en-AU"/>
              </w:rPr>
            </w:pPr>
            <w:r w:rsidRPr="005560C4">
              <w:rPr>
                <w:lang w:eastAsia="en-AU"/>
              </w:rPr>
              <w:t>17</w:t>
            </w:r>
            <w:r>
              <w:rPr>
                <w:lang w:eastAsia="en-AU"/>
              </w:rPr>
              <w:t xml:space="preserve"> per cent</w:t>
            </w:r>
          </w:p>
        </w:tc>
      </w:tr>
      <w:tr w:rsidR="00F360E3" w:rsidRPr="005560C4" w14:paraId="05645420"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F133535" w14:textId="77777777" w:rsidR="00F360E3" w:rsidRPr="005560C4" w:rsidRDefault="00F360E3" w:rsidP="00F360E3">
            <w:pPr>
              <w:rPr>
                <w:lang w:eastAsia="en-AU"/>
              </w:rPr>
            </w:pPr>
            <w:r w:rsidRPr="005560C4">
              <w:rPr>
                <w:lang w:eastAsia="en-AU"/>
              </w:rPr>
              <w:t>2022</w:t>
            </w:r>
          </w:p>
        </w:tc>
        <w:tc>
          <w:tcPr>
            <w:tcW w:w="3066" w:type="dxa"/>
            <w:tcBorders>
              <w:top w:val="nil"/>
              <w:left w:val="nil"/>
              <w:bottom w:val="single" w:sz="4" w:space="0" w:color="auto"/>
              <w:right w:val="single" w:sz="4" w:space="0" w:color="auto"/>
            </w:tcBorders>
            <w:shd w:val="clear" w:color="auto" w:fill="auto"/>
            <w:noWrap/>
            <w:vAlign w:val="center"/>
            <w:hideMark/>
          </w:tcPr>
          <w:p w14:paraId="7EED16E1" w14:textId="77777777" w:rsidR="00F360E3" w:rsidRPr="005560C4" w:rsidRDefault="00F360E3" w:rsidP="00F360E3">
            <w:pPr>
              <w:rPr>
                <w:lang w:eastAsia="en-AU"/>
              </w:rPr>
            </w:pPr>
            <w:r w:rsidRPr="005560C4">
              <w:rPr>
                <w:lang w:eastAsia="en-AU"/>
              </w:rPr>
              <w:t>28</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6893B3C4" w14:textId="77777777" w:rsidR="00F360E3" w:rsidRPr="005560C4" w:rsidRDefault="00F360E3" w:rsidP="00F360E3">
            <w:pPr>
              <w:rPr>
                <w:lang w:eastAsia="en-AU"/>
              </w:rPr>
            </w:pPr>
            <w:r w:rsidRPr="005560C4">
              <w:rPr>
                <w:lang w:eastAsia="en-AU"/>
              </w:rPr>
              <w:t>17</w:t>
            </w:r>
            <w:r>
              <w:rPr>
                <w:lang w:eastAsia="en-AU"/>
              </w:rPr>
              <w:t xml:space="preserve"> per cent</w:t>
            </w:r>
          </w:p>
        </w:tc>
      </w:tr>
      <w:tr w:rsidR="00F360E3" w:rsidRPr="005560C4" w14:paraId="5C355B70"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4FC1501" w14:textId="77777777" w:rsidR="00F360E3" w:rsidRPr="005560C4" w:rsidRDefault="00F360E3" w:rsidP="00F360E3">
            <w:pPr>
              <w:rPr>
                <w:lang w:eastAsia="en-AU"/>
              </w:rPr>
            </w:pPr>
            <w:r w:rsidRPr="005560C4">
              <w:rPr>
                <w:lang w:eastAsia="en-AU"/>
              </w:rPr>
              <w:t>2023</w:t>
            </w:r>
          </w:p>
        </w:tc>
        <w:tc>
          <w:tcPr>
            <w:tcW w:w="3066" w:type="dxa"/>
            <w:tcBorders>
              <w:top w:val="nil"/>
              <w:left w:val="nil"/>
              <w:bottom w:val="single" w:sz="4" w:space="0" w:color="auto"/>
              <w:right w:val="single" w:sz="4" w:space="0" w:color="auto"/>
            </w:tcBorders>
            <w:shd w:val="clear" w:color="auto" w:fill="auto"/>
            <w:noWrap/>
            <w:vAlign w:val="center"/>
            <w:hideMark/>
          </w:tcPr>
          <w:p w14:paraId="05BECF36" w14:textId="77777777" w:rsidR="00F360E3" w:rsidRPr="005560C4" w:rsidRDefault="00F360E3" w:rsidP="00F360E3">
            <w:pPr>
              <w:rPr>
                <w:lang w:eastAsia="en-AU"/>
              </w:rPr>
            </w:pPr>
            <w:r w:rsidRPr="005560C4">
              <w:rPr>
                <w:lang w:eastAsia="en-AU"/>
              </w:rPr>
              <w:t>18</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04200A3C" w14:textId="77777777" w:rsidR="00F360E3" w:rsidRPr="005560C4" w:rsidRDefault="00F360E3" w:rsidP="00F360E3">
            <w:pPr>
              <w:rPr>
                <w:lang w:eastAsia="en-AU"/>
              </w:rPr>
            </w:pPr>
            <w:r w:rsidRPr="005560C4">
              <w:rPr>
                <w:lang w:eastAsia="en-AU"/>
              </w:rPr>
              <w:t>16</w:t>
            </w:r>
            <w:r>
              <w:rPr>
                <w:lang w:eastAsia="en-AU"/>
              </w:rPr>
              <w:t xml:space="preserve"> per cent</w:t>
            </w:r>
          </w:p>
        </w:tc>
      </w:tr>
      <w:tr w:rsidR="00F360E3" w:rsidRPr="005560C4" w14:paraId="4A9A2811" w14:textId="77777777" w:rsidTr="0012533D">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01C802" w14:textId="77777777" w:rsidR="00F360E3" w:rsidRPr="005560C4" w:rsidRDefault="00F360E3" w:rsidP="00F360E3">
            <w:pPr>
              <w:rPr>
                <w:lang w:eastAsia="en-AU"/>
              </w:rPr>
            </w:pPr>
            <w:r w:rsidRPr="005560C4">
              <w:rPr>
                <w:lang w:eastAsia="en-AU"/>
              </w:rPr>
              <w:t>2024</w:t>
            </w:r>
          </w:p>
        </w:tc>
        <w:tc>
          <w:tcPr>
            <w:tcW w:w="3066" w:type="dxa"/>
            <w:tcBorders>
              <w:top w:val="nil"/>
              <w:left w:val="nil"/>
              <w:bottom w:val="single" w:sz="4" w:space="0" w:color="auto"/>
              <w:right w:val="single" w:sz="4" w:space="0" w:color="auto"/>
            </w:tcBorders>
            <w:shd w:val="clear" w:color="auto" w:fill="auto"/>
            <w:noWrap/>
            <w:vAlign w:val="center"/>
            <w:hideMark/>
          </w:tcPr>
          <w:p w14:paraId="0D62B2EC" w14:textId="77777777" w:rsidR="00F360E3" w:rsidRPr="005560C4" w:rsidRDefault="00F360E3" w:rsidP="00F360E3">
            <w:pPr>
              <w:rPr>
                <w:lang w:eastAsia="en-AU"/>
              </w:rPr>
            </w:pPr>
            <w:r w:rsidRPr="005560C4">
              <w:rPr>
                <w:lang w:eastAsia="en-AU"/>
              </w:rPr>
              <w:t>13</w:t>
            </w:r>
            <w:r>
              <w:rPr>
                <w:lang w:eastAsia="en-AU"/>
              </w:rPr>
              <w:t xml:space="preserve"> per cent</w:t>
            </w:r>
          </w:p>
        </w:tc>
        <w:tc>
          <w:tcPr>
            <w:tcW w:w="2977" w:type="dxa"/>
            <w:tcBorders>
              <w:top w:val="nil"/>
              <w:left w:val="nil"/>
              <w:bottom w:val="single" w:sz="4" w:space="0" w:color="auto"/>
              <w:right w:val="single" w:sz="4" w:space="0" w:color="auto"/>
            </w:tcBorders>
            <w:shd w:val="clear" w:color="auto" w:fill="auto"/>
            <w:noWrap/>
            <w:vAlign w:val="center"/>
            <w:hideMark/>
          </w:tcPr>
          <w:p w14:paraId="1E76B212" w14:textId="77777777" w:rsidR="00F360E3" w:rsidRPr="005560C4" w:rsidRDefault="00F360E3" w:rsidP="00F360E3">
            <w:pPr>
              <w:rPr>
                <w:lang w:eastAsia="en-AU"/>
              </w:rPr>
            </w:pPr>
            <w:r w:rsidRPr="005560C4">
              <w:rPr>
                <w:lang w:eastAsia="en-AU"/>
              </w:rPr>
              <w:t>16</w:t>
            </w:r>
            <w:r>
              <w:rPr>
                <w:lang w:eastAsia="en-AU"/>
              </w:rPr>
              <w:t xml:space="preserve"> per cent</w:t>
            </w:r>
          </w:p>
        </w:tc>
      </w:tr>
    </w:tbl>
    <w:p w14:paraId="174DF6DF" w14:textId="3A249F96" w:rsidR="00C4622C" w:rsidRPr="005366DB" w:rsidRDefault="00BD16E6" w:rsidP="00596C64">
      <w:pPr>
        <w:pStyle w:val="Caption"/>
        <w:spacing w:before="360"/>
      </w:pPr>
      <w:bookmarkStart w:id="53" w:name="_Ref183878036"/>
      <w:bookmarkEnd w:id="52"/>
      <w:r w:rsidRPr="00BD16E6">
        <w:rPr>
          <w:b/>
          <w:bCs/>
        </w:rPr>
        <w:lastRenderedPageBreak/>
        <w:t xml:space="preserve">Table </w:t>
      </w:r>
      <w:r w:rsidRPr="00BD16E6">
        <w:rPr>
          <w:b/>
          <w:bCs/>
        </w:rPr>
        <w:fldChar w:fldCharType="begin"/>
      </w:r>
      <w:r w:rsidRPr="00BD16E6">
        <w:rPr>
          <w:b/>
          <w:bCs/>
        </w:rPr>
        <w:instrText xml:space="preserve"> SEQ Table \* ARABIC </w:instrText>
      </w:r>
      <w:r w:rsidRPr="00BD16E6">
        <w:rPr>
          <w:b/>
          <w:bCs/>
        </w:rPr>
        <w:fldChar w:fldCharType="separate"/>
      </w:r>
      <w:r w:rsidR="00DC68AF">
        <w:rPr>
          <w:b/>
          <w:bCs/>
          <w:noProof/>
        </w:rPr>
        <w:t>17</w:t>
      </w:r>
      <w:r w:rsidRPr="00BD16E6">
        <w:rPr>
          <w:b/>
          <w:bCs/>
        </w:rPr>
        <w:fldChar w:fldCharType="end"/>
      </w:r>
      <w:bookmarkEnd w:id="53"/>
      <w:r>
        <w:t xml:space="preserve"> </w:t>
      </w:r>
      <w:r w:rsidRPr="00446D0E">
        <w:t xml:space="preserve">In the most recent full financial year (year ending 30 June 2024) did your organisation make a loss, break even or make a profit (surplus) </w:t>
      </w:r>
      <w:proofErr w:type="gramStart"/>
      <w:r w:rsidRPr="00446D0E">
        <w:t>in regard to</w:t>
      </w:r>
      <w:proofErr w:type="gramEnd"/>
      <w:r w:rsidRPr="00446D0E">
        <w:t xml:space="preserve"> its disability services? Statement </w:t>
      </w:r>
      <w:r w:rsidRPr="00446D0E">
        <w:rPr>
          <w:rFonts w:hint="eastAsia"/>
        </w:rPr>
        <w:t>–</w:t>
      </w:r>
      <w:r w:rsidRPr="00446D0E">
        <w:t xml:space="preserve"> Don</w:t>
      </w:r>
      <w:r w:rsidRPr="00446D0E">
        <w:rPr>
          <w:rFonts w:hint="eastAsia"/>
        </w:rPr>
        <w:t>’</w:t>
      </w:r>
      <w:r w:rsidRPr="00446D0E">
        <w:t>t know</w:t>
      </w:r>
    </w:p>
    <w:tbl>
      <w:tblPr>
        <w:tblW w:w="6091" w:type="dxa"/>
        <w:tblLook w:val="04A0" w:firstRow="1" w:lastRow="0" w:firstColumn="1" w:lastColumn="0" w:noHBand="0" w:noVBand="1"/>
        <w:tblCaption w:val="Table 17 In the most recent full financial year (year ending 30 June 2024) did your organisation make a loss, break even or make a profit (surplus) in regard to its disability services? Statement – Don’t know"/>
        <w:tblDescription w:val="A table showing the percentage of organisations reporting they don’t know whether they made a loss, broke even or made a profit for the year ending 30 June 2024. Disability services only. Trend data from 2016 to 2024."/>
      </w:tblPr>
      <w:tblGrid>
        <w:gridCol w:w="1040"/>
        <w:gridCol w:w="2357"/>
        <w:gridCol w:w="2694"/>
      </w:tblGrid>
      <w:tr w:rsidR="00F360E3" w:rsidRPr="0012533D" w14:paraId="23989FD1" w14:textId="77777777" w:rsidTr="00D60C4E">
        <w:trPr>
          <w:trHeight w:val="307"/>
          <w:tblHeader/>
        </w:trPr>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F37300" w14:textId="77777777" w:rsidR="00F360E3" w:rsidRPr="0012533D" w:rsidRDefault="00F360E3" w:rsidP="0012533D">
            <w:pPr>
              <w:rPr>
                <w:b/>
                <w:bCs/>
                <w:lang w:eastAsia="en-AU"/>
              </w:rPr>
            </w:pPr>
            <w:bookmarkStart w:id="54" w:name="Title_Table_17"/>
            <w:bookmarkEnd w:id="54"/>
            <w:r w:rsidRPr="0012533D">
              <w:rPr>
                <w:b/>
                <w:bCs/>
                <w:lang w:eastAsia="en-AU"/>
              </w:rPr>
              <w:t>Year</w:t>
            </w:r>
          </w:p>
        </w:tc>
        <w:tc>
          <w:tcPr>
            <w:tcW w:w="235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8FB60A" w14:textId="77777777" w:rsidR="00F360E3" w:rsidRPr="0012533D" w:rsidRDefault="00F360E3" w:rsidP="0012533D">
            <w:pPr>
              <w:rPr>
                <w:b/>
                <w:bCs/>
                <w:lang w:eastAsia="en-AU"/>
              </w:rPr>
            </w:pPr>
            <w:r w:rsidRPr="0012533D">
              <w:rPr>
                <w:b/>
                <w:bCs/>
                <w:lang w:eastAsia="en-AU"/>
              </w:rPr>
              <w:t>Don't know</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47A52E" w14:textId="77777777" w:rsidR="00F360E3" w:rsidRPr="0012533D" w:rsidRDefault="00F360E3" w:rsidP="0012533D">
            <w:pPr>
              <w:rPr>
                <w:b/>
                <w:bCs/>
                <w:lang w:eastAsia="en-AU"/>
              </w:rPr>
            </w:pPr>
            <w:r w:rsidRPr="0012533D">
              <w:rPr>
                <w:b/>
                <w:bCs/>
                <w:lang w:eastAsia="en-AU"/>
              </w:rPr>
              <w:t>Don't know trend</w:t>
            </w:r>
          </w:p>
        </w:tc>
      </w:tr>
      <w:tr w:rsidR="00F360E3" w:rsidRPr="009D4BA3" w14:paraId="1ECCB053"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137E10E" w14:textId="77777777" w:rsidR="00F360E3" w:rsidRPr="009D4BA3" w:rsidRDefault="00F360E3" w:rsidP="00D60C4E">
            <w:pPr>
              <w:rPr>
                <w:lang w:eastAsia="en-AU"/>
              </w:rPr>
            </w:pPr>
            <w:r w:rsidRPr="009D4BA3">
              <w:rPr>
                <w:lang w:eastAsia="en-AU"/>
              </w:rPr>
              <w:t>2016</w:t>
            </w:r>
          </w:p>
        </w:tc>
        <w:tc>
          <w:tcPr>
            <w:tcW w:w="2357" w:type="dxa"/>
            <w:tcBorders>
              <w:top w:val="nil"/>
              <w:left w:val="nil"/>
              <w:bottom w:val="single" w:sz="4" w:space="0" w:color="auto"/>
              <w:right w:val="single" w:sz="4" w:space="0" w:color="auto"/>
            </w:tcBorders>
            <w:shd w:val="clear" w:color="auto" w:fill="auto"/>
            <w:noWrap/>
            <w:vAlign w:val="center"/>
            <w:hideMark/>
          </w:tcPr>
          <w:p w14:paraId="47C19E8B" w14:textId="77777777" w:rsidR="00F360E3" w:rsidRPr="009D4BA3" w:rsidRDefault="00F360E3" w:rsidP="00D60C4E">
            <w:pPr>
              <w:rPr>
                <w:lang w:eastAsia="en-AU"/>
              </w:rPr>
            </w:pPr>
            <w:r w:rsidRPr="009D4BA3">
              <w:rPr>
                <w:lang w:eastAsia="en-AU"/>
              </w:rPr>
              <w:t>4</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69EC06C5"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4400A28E"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2D952430" w14:textId="77777777" w:rsidR="00F360E3" w:rsidRPr="009D4BA3" w:rsidRDefault="00F360E3" w:rsidP="00D60C4E">
            <w:pPr>
              <w:rPr>
                <w:lang w:eastAsia="en-AU"/>
              </w:rPr>
            </w:pPr>
            <w:r w:rsidRPr="009D4BA3">
              <w:rPr>
                <w:lang w:eastAsia="en-AU"/>
              </w:rPr>
              <w:t>2017</w:t>
            </w:r>
          </w:p>
        </w:tc>
        <w:tc>
          <w:tcPr>
            <w:tcW w:w="2357" w:type="dxa"/>
            <w:tcBorders>
              <w:top w:val="nil"/>
              <w:left w:val="nil"/>
              <w:bottom w:val="single" w:sz="4" w:space="0" w:color="auto"/>
              <w:right w:val="single" w:sz="4" w:space="0" w:color="auto"/>
            </w:tcBorders>
            <w:shd w:val="clear" w:color="auto" w:fill="auto"/>
            <w:noWrap/>
            <w:vAlign w:val="center"/>
            <w:hideMark/>
          </w:tcPr>
          <w:p w14:paraId="4D9A1C94" w14:textId="77777777" w:rsidR="00F360E3" w:rsidRPr="009D4BA3" w:rsidRDefault="00F360E3" w:rsidP="00D60C4E">
            <w:pPr>
              <w:rPr>
                <w:lang w:eastAsia="en-AU"/>
              </w:rPr>
            </w:pPr>
            <w:r w:rsidRPr="009D4BA3">
              <w:rPr>
                <w:lang w:eastAsia="en-AU"/>
              </w:rPr>
              <w:t>3</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2C473D1F"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7E41C09D"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676908AF" w14:textId="77777777" w:rsidR="00F360E3" w:rsidRPr="009D4BA3" w:rsidRDefault="00F360E3" w:rsidP="00D60C4E">
            <w:pPr>
              <w:rPr>
                <w:lang w:eastAsia="en-AU"/>
              </w:rPr>
            </w:pPr>
            <w:r w:rsidRPr="009D4BA3">
              <w:rPr>
                <w:lang w:eastAsia="en-AU"/>
              </w:rPr>
              <w:t>2018</w:t>
            </w:r>
          </w:p>
        </w:tc>
        <w:tc>
          <w:tcPr>
            <w:tcW w:w="2357" w:type="dxa"/>
            <w:tcBorders>
              <w:top w:val="nil"/>
              <w:left w:val="nil"/>
              <w:bottom w:val="single" w:sz="4" w:space="0" w:color="auto"/>
              <w:right w:val="single" w:sz="4" w:space="0" w:color="auto"/>
            </w:tcBorders>
            <w:shd w:val="clear" w:color="auto" w:fill="auto"/>
            <w:noWrap/>
            <w:vAlign w:val="center"/>
            <w:hideMark/>
          </w:tcPr>
          <w:p w14:paraId="437F1F61" w14:textId="77777777" w:rsidR="00F360E3" w:rsidRPr="009D4BA3" w:rsidRDefault="00F360E3" w:rsidP="00D60C4E">
            <w:pPr>
              <w:rPr>
                <w:lang w:eastAsia="en-AU"/>
              </w:rPr>
            </w:pPr>
            <w:r w:rsidRPr="009D4BA3">
              <w:rPr>
                <w:lang w:eastAsia="en-AU"/>
              </w:rPr>
              <w:t>6</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7EE3A51A"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3E0CB9D5"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B875613" w14:textId="77777777" w:rsidR="00F360E3" w:rsidRPr="009D4BA3" w:rsidRDefault="00F360E3" w:rsidP="00D60C4E">
            <w:pPr>
              <w:rPr>
                <w:lang w:eastAsia="en-AU"/>
              </w:rPr>
            </w:pPr>
            <w:r w:rsidRPr="009D4BA3">
              <w:rPr>
                <w:lang w:eastAsia="en-AU"/>
              </w:rPr>
              <w:t>2019</w:t>
            </w:r>
          </w:p>
        </w:tc>
        <w:tc>
          <w:tcPr>
            <w:tcW w:w="2357" w:type="dxa"/>
            <w:tcBorders>
              <w:top w:val="nil"/>
              <w:left w:val="nil"/>
              <w:bottom w:val="single" w:sz="4" w:space="0" w:color="auto"/>
              <w:right w:val="single" w:sz="4" w:space="0" w:color="auto"/>
            </w:tcBorders>
            <w:shd w:val="clear" w:color="auto" w:fill="auto"/>
            <w:noWrap/>
            <w:vAlign w:val="center"/>
            <w:hideMark/>
          </w:tcPr>
          <w:p w14:paraId="51FDE74D" w14:textId="77777777" w:rsidR="00F360E3" w:rsidRPr="009D4BA3" w:rsidRDefault="00F360E3" w:rsidP="00D60C4E">
            <w:pPr>
              <w:rPr>
                <w:lang w:eastAsia="en-AU"/>
              </w:rPr>
            </w:pPr>
            <w:r w:rsidRPr="009D4BA3">
              <w:rPr>
                <w:lang w:eastAsia="en-AU"/>
              </w:rPr>
              <w:t>5</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149F4AFE"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67B95756"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941E5C4" w14:textId="77777777" w:rsidR="00F360E3" w:rsidRPr="009D4BA3" w:rsidRDefault="00F360E3" w:rsidP="00D60C4E">
            <w:pPr>
              <w:rPr>
                <w:lang w:eastAsia="en-AU"/>
              </w:rPr>
            </w:pPr>
            <w:r w:rsidRPr="009D4BA3">
              <w:rPr>
                <w:lang w:eastAsia="en-AU"/>
              </w:rPr>
              <w:t>2020</w:t>
            </w:r>
          </w:p>
        </w:tc>
        <w:tc>
          <w:tcPr>
            <w:tcW w:w="2357" w:type="dxa"/>
            <w:tcBorders>
              <w:top w:val="nil"/>
              <w:left w:val="nil"/>
              <w:bottom w:val="single" w:sz="4" w:space="0" w:color="auto"/>
              <w:right w:val="single" w:sz="4" w:space="0" w:color="auto"/>
            </w:tcBorders>
            <w:shd w:val="clear" w:color="auto" w:fill="auto"/>
            <w:noWrap/>
            <w:vAlign w:val="center"/>
            <w:hideMark/>
          </w:tcPr>
          <w:p w14:paraId="40184B52" w14:textId="77777777" w:rsidR="00F360E3" w:rsidRPr="009D4BA3" w:rsidRDefault="00F360E3" w:rsidP="00D60C4E">
            <w:pPr>
              <w:rPr>
                <w:lang w:eastAsia="en-AU"/>
              </w:rPr>
            </w:pPr>
            <w:r w:rsidRPr="009D4BA3">
              <w:rPr>
                <w:lang w:eastAsia="en-AU"/>
              </w:rPr>
              <w:t>2</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7F0E6EB0"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0425E446"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C5872C1" w14:textId="77777777" w:rsidR="00F360E3" w:rsidRPr="009D4BA3" w:rsidRDefault="00F360E3" w:rsidP="00D60C4E">
            <w:pPr>
              <w:rPr>
                <w:lang w:eastAsia="en-AU"/>
              </w:rPr>
            </w:pPr>
            <w:r w:rsidRPr="009D4BA3">
              <w:rPr>
                <w:lang w:eastAsia="en-AU"/>
              </w:rPr>
              <w:t>2021</w:t>
            </w:r>
          </w:p>
        </w:tc>
        <w:tc>
          <w:tcPr>
            <w:tcW w:w="2357" w:type="dxa"/>
            <w:tcBorders>
              <w:top w:val="nil"/>
              <w:left w:val="nil"/>
              <w:bottom w:val="single" w:sz="4" w:space="0" w:color="auto"/>
              <w:right w:val="single" w:sz="4" w:space="0" w:color="auto"/>
            </w:tcBorders>
            <w:shd w:val="clear" w:color="auto" w:fill="auto"/>
            <w:noWrap/>
            <w:vAlign w:val="center"/>
            <w:hideMark/>
          </w:tcPr>
          <w:p w14:paraId="78374142" w14:textId="77777777" w:rsidR="00F360E3" w:rsidRPr="009D4BA3" w:rsidRDefault="00F360E3" w:rsidP="00D60C4E">
            <w:pPr>
              <w:rPr>
                <w:lang w:eastAsia="en-AU"/>
              </w:rPr>
            </w:pPr>
            <w:r w:rsidRPr="009D4BA3">
              <w:rPr>
                <w:lang w:eastAsia="en-AU"/>
              </w:rPr>
              <w:t>4</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7ACF776F"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33978253"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CB30A27" w14:textId="77777777" w:rsidR="00F360E3" w:rsidRPr="009D4BA3" w:rsidRDefault="00F360E3" w:rsidP="00D60C4E">
            <w:pPr>
              <w:rPr>
                <w:lang w:eastAsia="en-AU"/>
              </w:rPr>
            </w:pPr>
            <w:r w:rsidRPr="009D4BA3">
              <w:rPr>
                <w:lang w:eastAsia="en-AU"/>
              </w:rPr>
              <w:t>2022</w:t>
            </w:r>
          </w:p>
        </w:tc>
        <w:tc>
          <w:tcPr>
            <w:tcW w:w="2357" w:type="dxa"/>
            <w:tcBorders>
              <w:top w:val="nil"/>
              <w:left w:val="nil"/>
              <w:bottom w:val="single" w:sz="4" w:space="0" w:color="auto"/>
              <w:right w:val="single" w:sz="4" w:space="0" w:color="auto"/>
            </w:tcBorders>
            <w:shd w:val="clear" w:color="auto" w:fill="auto"/>
            <w:noWrap/>
            <w:vAlign w:val="center"/>
            <w:hideMark/>
          </w:tcPr>
          <w:p w14:paraId="3B9940E7" w14:textId="77777777" w:rsidR="00F360E3" w:rsidRPr="009D4BA3" w:rsidRDefault="00F360E3" w:rsidP="00D60C4E">
            <w:pPr>
              <w:rPr>
                <w:lang w:eastAsia="en-AU"/>
              </w:rPr>
            </w:pPr>
            <w:r w:rsidRPr="009D4BA3">
              <w:rPr>
                <w:lang w:eastAsia="en-AU"/>
              </w:rPr>
              <w:t>3</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015BA361" w14:textId="77777777" w:rsidR="00F360E3" w:rsidRPr="009D4BA3" w:rsidRDefault="00F360E3" w:rsidP="00D60C4E">
            <w:pPr>
              <w:rPr>
                <w:lang w:eastAsia="en-AU"/>
              </w:rPr>
            </w:pPr>
            <w:r w:rsidRPr="009D4BA3">
              <w:rPr>
                <w:lang w:eastAsia="en-AU"/>
              </w:rPr>
              <w:t>4</w:t>
            </w:r>
            <w:r>
              <w:rPr>
                <w:lang w:eastAsia="en-AU"/>
              </w:rPr>
              <w:t xml:space="preserve"> per cent</w:t>
            </w:r>
          </w:p>
        </w:tc>
      </w:tr>
      <w:tr w:rsidR="00F360E3" w:rsidRPr="009D4BA3" w14:paraId="54A38356"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566F8BEF" w14:textId="77777777" w:rsidR="00F360E3" w:rsidRPr="009D4BA3" w:rsidRDefault="00F360E3" w:rsidP="00D60C4E">
            <w:pPr>
              <w:rPr>
                <w:lang w:eastAsia="en-AU"/>
              </w:rPr>
            </w:pPr>
            <w:r w:rsidRPr="009D4BA3">
              <w:rPr>
                <w:lang w:eastAsia="en-AU"/>
              </w:rPr>
              <w:t>2023</w:t>
            </w:r>
          </w:p>
        </w:tc>
        <w:tc>
          <w:tcPr>
            <w:tcW w:w="2357" w:type="dxa"/>
            <w:tcBorders>
              <w:top w:val="nil"/>
              <w:left w:val="nil"/>
              <w:bottom w:val="single" w:sz="4" w:space="0" w:color="auto"/>
              <w:right w:val="single" w:sz="4" w:space="0" w:color="auto"/>
            </w:tcBorders>
            <w:shd w:val="clear" w:color="auto" w:fill="auto"/>
            <w:noWrap/>
            <w:vAlign w:val="center"/>
            <w:hideMark/>
          </w:tcPr>
          <w:p w14:paraId="105836BE" w14:textId="77777777" w:rsidR="00F360E3" w:rsidRPr="009D4BA3" w:rsidRDefault="00F360E3" w:rsidP="00D60C4E">
            <w:pPr>
              <w:rPr>
                <w:lang w:eastAsia="en-AU"/>
              </w:rPr>
            </w:pPr>
            <w:r w:rsidRPr="009D4BA3">
              <w:rPr>
                <w:lang w:eastAsia="en-AU"/>
              </w:rPr>
              <w:t>6</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2338C9D4" w14:textId="77777777" w:rsidR="00F360E3" w:rsidRPr="009D4BA3" w:rsidRDefault="00F360E3" w:rsidP="00D60C4E">
            <w:pPr>
              <w:rPr>
                <w:lang w:eastAsia="en-AU"/>
              </w:rPr>
            </w:pPr>
            <w:r w:rsidRPr="009D4BA3">
              <w:rPr>
                <w:lang w:eastAsia="en-AU"/>
              </w:rPr>
              <w:t>3</w:t>
            </w:r>
            <w:r>
              <w:rPr>
                <w:lang w:eastAsia="en-AU"/>
              </w:rPr>
              <w:t xml:space="preserve"> per cent</w:t>
            </w:r>
          </w:p>
        </w:tc>
      </w:tr>
      <w:tr w:rsidR="00F360E3" w:rsidRPr="009D4BA3" w14:paraId="450D1359" w14:textId="77777777" w:rsidTr="00D87B58">
        <w:trPr>
          <w:trHeight w:val="30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1FF2525C" w14:textId="77777777" w:rsidR="00F360E3" w:rsidRPr="009D4BA3" w:rsidRDefault="00F360E3" w:rsidP="00D60C4E">
            <w:pPr>
              <w:rPr>
                <w:lang w:eastAsia="en-AU"/>
              </w:rPr>
            </w:pPr>
            <w:r w:rsidRPr="009D4BA3">
              <w:rPr>
                <w:lang w:eastAsia="en-AU"/>
              </w:rPr>
              <w:t>2024</w:t>
            </w:r>
          </w:p>
        </w:tc>
        <w:tc>
          <w:tcPr>
            <w:tcW w:w="2357" w:type="dxa"/>
            <w:tcBorders>
              <w:top w:val="nil"/>
              <w:left w:val="nil"/>
              <w:bottom w:val="single" w:sz="4" w:space="0" w:color="auto"/>
              <w:right w:val="single" w:sz="4" w:space="0" w:color="auto"/>
            </w:tcBorders>
            <w:shd w:val="clear" w:color="auto" w:fill="auto"/>
            <w:noWrap/>
            <w:vAlign w:val="center"/>
            <w:hideMark/>
          </w:tcPr>
          <w:p w14:paraId="2E4E5E47" w14:textId="77777777" w:rsidR="00F360E3" w:rsidRPr="009D4BA3" w:rsidRDefault="00F360E3" w:rsidP="00D60C4E">
            <w:pPr>
              <w:rPr>
                <w:lang w:eastAsia="en-AU"/>
              </w:rPr>
            </w:pPr>
            <w:r w:rsidRPr="009D4BA3">
              <w:rPr>
                <w:lang w:eastAsia="en-AU"/>
              </w:rPr>
              <w:t>2</w:t>
            </w:r>
            <w:r>
              <w:rPr>
                <w:lang w:eastAsia="en-AU"/>
              </w:rPr>
              <w:t xml:space="preserve"> per cent</w:t>
            </w:r>
          </w:p>
        </w:tc>
        <w:tc>
          <w:tcPr>
            <w:tcW w:w="2694" w:type="dxa"/>
            <w:tcBorders>
              <w:top w:val="nil"/>
              <w:left w:val="nil"/>
              <w:bottom w:val="single" w:sz="4" w:space="0" w:color="auto"/>
              <w:right w:val="single" w:sz="4" w:space="0" w:color="auto"/>
            </w:tcBorders>
            <w:shd w:val="clear" w:color="auto" w:fill="auto"/>
            <w:noWrap/>
            <w:vAlign w:val="center"/>
            <w:hideMark/>
          </w:tcPr>
          <w:p w14:paraId="0F838EE1" w14:textId="77777777" w:rsidR="00F360E3" w:rsidRPr="009D4BA3" w:rsidRDefault="00F360E3" w:rsidP="00D60C4E">
            <w:pPr>
              <w:rPr>
                <w:lang w:eastAsia="en-AU"/>
              </w:rPr>
            </w:pPr>
            <w:r w:rsidRPr="009D4BA3">
              <w:rPr>
                <w:lang w:eastAsia="en-AU"/>
              </w:rPr>
              <w:t>3</w:t>
            </w:r>
            <w:r>
              <w:rPr>
                <w:lang w:eastAsia="en-AU"/>
              </w:rPr>
              <w:t xml:space="preserve"> per cent</w:t>
            </w:r>
          </w:p>
        </w:tc>
      </w:tr>
    </w:tbl>
    <w:p w14:paraId="3F178102" w14:textId="0E388855" w:rsidR="00B021DF" w:rsidRDefault="00B021DF" w:rsidP="00F360E3">
      <w:pPr>
        <w:pStyle w:val="NormalFirstAfterTable"/>
      </w:pPr>
      <w:r>
        <w:t>Organisations were, however, hopeful</w:t>
      </w:r>
      <w:r w:rsidR="00951226" w:rsidRPr="6766CE18">
        <w:rPr>
          <w:lang w:val="en-US"/>
        </w:rPr>
        <w:t>,</w:t>
      </w:r>
      <w:r>
        <w:t xml:space="preserve"> with only 43 per cent anticipating a loss in the coming year</w:t>
      </w:r>
      <w:r w:rsidR="00F5725E">
        <w:t>. Alt</w:t>
      </w:r>
      <w:r>
        <w:t>hough</w:t>
      </w:r>
      <w:r w:rsidR="00F5725E">
        <w:t>,</w:t>
      </w:r>
      <w:r>
        <w:t xml:space="preserve"> instead of that resulting in more organisations anticipating a profit, it has resulted in more organisations anticipating breaking even</w:t>
      </w:r>
      <w:r w:rsidR="00031852" w:rsidRPr="007B3F2D">
        <w:t xml:space="preserve"> </w:t>
      </w:r>
      <w:r w:rsidR="00031852">
        <w:t>(</w:t>
      </w:r>
      <w:r w:rsidR="00031852" w:rsidRPr="003F04D8">
        <w:t xml:space="preserve">see </w:t>
      </w:r>
      <w:r w:rsidR="00CC1235" w:rsidRPr="00CC1235">
        <w:fldChar w:fldCharType="begin"/>
      </w:r>
      <w:r w:rsidR="00CC1235" w:rsidRPr="00CC1235">
        <w:instrText xml:space="preserve"> REF _Ref183879215 \h  \* MERGEFORMAT </w:instrText>
      </w:r>
      <w:r w:rsidR="00CC1235" w:rsidRPr="00CC1235">
        <w:fldChar w:fldCharType="separate"/>
      </w:r>
      <w:r w:rsidR="00CC1235" w:rsidRPr="00CC1235">
        <w:t xml:space="preserve">Table </w:t>
      </w:r>
      <w:r w:rsidR="00CC1235" w:rsidRPr="00CC1235">
        <w:rPr>
          <w:noProof/>
        </w:rPr>
        <w:t>18</w:t>
      </w:r>
      <w:r w:rsidR="00CC1235" w:rsidRPr="00CC1235">
        <w:fldChar w:fldCharType="end"/>
      </w:r>
      <w:r w:rsidR="00031852" w:rsidRPr="003F04D8">
        <w:fldChar w:fldCharType="begin"/>
      </w:r>
      <w:r w:rsidR="00031852" w:rsidRPr="003F04D8">
        <w:instrText xml:space="preserve"> REF _Ref183700368 \h </w:instrText>
      </w:r>
      <w:r w:rsidR="00F360E3" w:rsidRPr="003F04D8">
        <w:instrText xml:space="preserve"> \* MERGEFORMAT </w:instrText>
      </w:r>
      <w:r w:rsidR="00031852" w:rsidRPr="003F04D8">
        <w:fldChar w:fldCharType="separate"/>
      </w:r>
      <w:r w:rsidR="003F04D8" w:rsidRPr="003F04D8">
        <w:rPr>
          <w:noProof/>
        </w:rPr>
        <w:t>,</w:t>
      </w:r>
      <w:r w:rsidR="00031852" w:rsidRPr="003F04D8">
        <w:fldChar w:fldCharType="end"/>
      </w:r>
      <w:r w:rsidR="00CC1235">
        <w:t xml:space="preserve"> </w:t>
      </w:r>
      <w:r w:rsidR="0009709B" w:rsidRPr="0009709B">
        <w:fldChar w:fldCharType="begin"/>
      </w:r>
      <w:r w:rsidR="0009709B" w:rsidRPr="0009709B">
        <w:instrText xml:space="preserve"> REF _Ref184195945 \h  \* MERGEFORMAT </w:instrText>
      </w:r>
      <w:r w:rsidR="0009709B" w:rsidRPr="0009709B">
        <w:fldChar w:fldCharType="separate"/>
      </w:r>
      <w:r w:rsidR="0009709B" w:rsidRPr="0009709B">
        <w:t xml:space="preserve">Table </w:t>
      </w:r>
      <w:r w:rsidR="0009709B" w:rsidRPr="0009709B">
        <w:rPr>
          <w:noProof/>
        </w:rPr>
        <w:t>19</w:t>
      </w:r>
      <w:r w:rsidR="0009709B" w:rsidRPr="0009709B">
        <w:fldChar w:fldCharType="end"/>
      </w:r>
      <w:r w:rsidR="003F04D8" w:rsidRPr="001653ED">
        <w:t xml:space="preserve">, </w:t>
      </w:r>
      <w:r w:rsidR="0009709B" w:rsidRPr="0009709B">
        <w:fldChar w:fldCharType="begin"/>
      </w:r>
      <w:r w:rsidR="0009709B" w:rsidRPr="0009709B">
        <w:instrText xml:space="preserve"> REF _Ref184195978 \h  \* MERGEFORMAT </w:instrText>
      </w:r>
      <w:r w:rsidR="0009709B" w:rsidRPr="0009709B">
        <w:fldChar w:fldCharType="separate"/>
      </w:r>
      <w:r w:rsidR="0009709B" w:rsidRPr="0009709B">
        <w:t xml:space="preserve">Table </w:t>
      </w:r>
      <w:r w:rsidR="0009709B" w:rsidRPr="0009709B">
        <w:rPr>
          <w:noProof/>
        </w:rPr>
        <w:t>20</w:t>
      </w:r>
      <w:r w:rsidR="0009709B" w:rsidRPr="0009709B">
        <w:fldChar w:fldCharType="end"/>
      </w:r>
      <w:r w:rsidR="001653ED">
        <w:t xml:space="preserve"> </w:t>
      </w:r>
      <w:r w:rsidR="003F04D8">
        <w:t xml:space="preserve">and </w:t>
      </w:r>
      <w:r w:rsidR="0009709B" w:rsidRPr="0009709B">
        <w:fldChar w:fldCharType="begin"/>
      </w:r>
      <w:r w:rsidR="0009709B" w:rsidRPr="0009709B">
        <w:instrText xml:space="preserve"> REF _Ref184196016 \h  \* MERGEFORMAT </w:instrText>
      </w:r>
      <w:r w:rsidR="0009709B" w:rsidRPr="0009709B">
        <w:fldChar w:fldCharType="separate"/>
      </w:r>
      <w:r w:rsidR="0009709B" w:rsidRPr="0009709B">
        <w:t xml:space="preserve">Table </w:t>
      </w:r>
      <w:r w:rsidR="0009709B" w:rsidRPr="0009709B">
        <w:rPr>
          <w:noProof/>
        </w:rPr>
        <w:t>21</w:t>
      </w:r>
      <w:r w:rsidR="0009709B" w:rsidRPr="0009709B">
        <w:fldChar w:fldCharType="end"/>
      </w:r>
      <w:r w:rsidR="00031852">
        <w:t>)</w:t>
      </w:r>
      <w:r>
        <w:t>.</w:t>
      </w:r>
    </w:p>
    <w:p w14:paraId="2DBF2A9B" w14:textId="5A6C7E45" w:rsidR="00315F5D" w:rsidRDefault="0059798F" w:rsidP="0059798F">
      <w:pPr>
        <w:pStyle w:val="Caption"/>
      </w:pPr>
      <w:bookmarkStart w:id="55" w:name="_Ref183879215"/>
      <w:r w:rsidRPr="0059798F">
        <w:rPr>
          <w:b/>
          <w:bCs/>
        </w:rPr>
        <w:t xml:space="preserve">Table </w:t>
      </w:r>
      <w:r w:rsidRPr="0059798F">
        <w:rPr>
          <w:b/>
          <w:bCs/>
        </w:rPr>
        <w:fldChar w:fldCharType="begin"/>
      </w:r>
      <w:r w:rsidRPr="0059798F">
        <w:rPr>
          <w:b/>
          <w:bCs/>
        </w:rPr>
        <w:instrText xml:space="preserve"> SEQ Table \* ARABIC </w:instrText>
      </w:r>
      <w:r w:rsidRPr="0059798F">
        <w:rPr>
          <w:b/>
          <w:bCs/>
        </w:rPr>
        <w:fldChar w:fldCharType="separate"/>
      </w:r>
      <w:r w:rsidR="00DC68AF">
        <w:rPr>
          <w:b/>
          <w:bCs/>
          <w:noProof/>
        </w:rPr>
        <w:t>18</w:t>
      </w:r>
      <w:r w:rsidRPr="0059798F">
        <w:rPr>
          <w:b/>
          <w:bCs/>
        </w:rPr>
        <w:fldChar w:fldCharType="end"/>
      </w:r>
      <w:bookmarkEnd w:id="55"/>
      <w:r>
        <w:t xml:space="preserve"> Do you expect your organisation will make a loss (deficit), break even or a profit (surplus) on its disability services in this current financial year (year ending 30 June 2025)? </w:t>
      </w:r>
      <w:r w:rsidRPr="00F81839">
        <w:t xml:space="preserve">Statement </w:t>
      </w:r>
      <w:r w:rsidRPr="00F81839">
        <w:rPr>
          <w:rFonts w:hint="eastAsia"/>
        </w:rPr>
        <w:t>–</w:t>
      </w:r>
      <w:r w:rsidRPr="00F81839">
        <w:t xml:space="preserve"> </w:t>
      </w:r>
      <w:r w:rsidR="00CC1235">
        <w:t>M</w:t>
      </w:r>
      <w:r w:rsidR="00CC1235" w:rsidRPr="00F81839">
        <w:t xml:space="preserve">ake </w:t>
      </w:r>
      <w:r w:rsidRPr="00F81839">
        <w:t xml:space="preserve">a </w:t>
      </w:r>
      <w:r>
        <w:t>l</w:t>
      </w:r>
      <w:r w:rsidRPr="00F81839">
        <w:t>oss/deficit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Do you expect your organisation will make a loss (deficit), break even or a profit (surplus) on its disability services in this current financial year (year ending 30 June 2025)? Statement – Make a loss/deficit"/>
        <w:tblDescription w:val="A table showing the percentage of organisations expecting to make a loss in the current financial year (30 June 2025). Disability services only. Trend data from 2015 to 2024. "/>
      </w:tblPr>
      <w:tblGrid>
        <w:gridCol w:w="1036"/>
        <w:gridCol w:w="2645"/>
        <w:gridCol w:w="2835"/>
      </w:tblGrid>
      <w:tr w:rsidR="001653ED" w:rsidRPr="00214A66" w14:paraId="65F98A61" w14:textId="77777777" w:rsidTr="0012533D">
        <w:trPr>
          <w:trHeight w:val="300"/>
          <w:tblHeader/>
        </w:trPr>
        <w:tc>
          <w:tcPr>
            <w:tcW w:w="1036" w:type="dxa"/>
            <w:shd w:val="clear" w:color="auto" w:fill="D9D9D9" w:themeFill="background1" w:themeFillShade="D9"/>
            <w:vAlign w:val="center"/>
          </w:tcPr>
          <w:p w14:paraId="49E11692" w14:textId="77777777" w:rsidR="001653ED" w:rsidRPr="00214A66" w:rsidRDefault="001653ED" w:rsidP="00214A66">
            <w:pPr>
              <w:rPr>
                <w:b/>
                <w:bCs/>
                <w:lang w:eastAsia="en-AU"/>
              </w:rPr>
            </w:pPr>
            <w:bookmarkStart w:id="56" w:name="Title_Table_18"/>
            <w:bookmarkStart w:id="57" w:name="_Ref183879250"/>
            <w:bookmarkEnd w:id="56"/>
            <w:r w:rsidRPr="00214A66">
              <w:rPr>
                <w:b/>
                <w:bCs/>
                <w:lang w:eastAsia="en-AU"/>
              </w:rPr>
              <w:t>Year</w:t>
            </w:r>
          </w:p>
        </w:tc>
        <w:tc>
          <w:tcPr>
            <w:tcW w:w="2645" w:type="dxa"/>
            <w:shd w:val="clear" w:color="auto" w:fill="D9D9D9" w:themeFill="background1" w:themeFillShade="D9"/>
            <w:vAlign w:val="center"/>
          </w:tcPr>
          <w:p w14:paraId="5B2BBBB9" w14:textId="6AFA1356" w:rsidR="001653ED" w:rsidRPr="00214A66" w:rsidRDefault="001653ED" w:rsidP="00214A66">
            <w:pPr>
              <w:rPr>
                <w:b/>
                <w:bCs/>
                <w:color w:val="000000" w:themeColor="text1"/>
                <w:lang w:eastAsia="en-AU"/>
              </w:rPr>
            </w:pPr>
            <w:r w:rsidRPr="00214A66">
              <w:rPr>
                <w:b/>
                <w:bCs/>
                <w:color w:val="000000" w:themeColor="text1"/>
                <w:lang w:eastAsia="en-AU"/>
              </w:rPr>
              <w:t xml:space="preserve">Make a </w:t>
            </w:r>
            <w:r w:rsidR="0012533D" w:rsidRPr="00214A66">
              <w:rPr>
                <w:b/>
                <w:bCs/>
                <w:color w:val="000000" w:themeColor="text1"/>
                <w:lang w:eastAsia="en-AU"/>
              </w:rPr>
              <w:t>l</w:t>
            </w:r>
            <w:r w:rsidRPr="00214A66">
              <w:rPr>
                <w:b/>
                <w:bCs/>
                <w:color w:val="000000" w:themeColor="text1"/>
                <w:lang w:eastAsia="en-AU"/>
              </w:rPr>
              <w:t>oss/deficit</w:t>
            </w:r>
          </w:p>
        </w:tc>
        <w:tc>
          <w:tcPr>
            <w:tcW w:w="2835" w:type="dxa"/>
            <w:shd w:val="clear" w:color="auto" w:fill="D9D9D9" w:themeFill="background1" w:themeFillShade="D9"/>
            <w:vAlign w:val="center"/>
          </w:tcPr>
          <w:p w14:paraId="37CD9C7F" w14:textId="77777777" w:rsidR="001653ED" w:rsidRPr="00214A66" w:rsidRDefault="001653ED" w:rsidP="00214A66">
            <w:pPr>
              <w:rPr>
                <w:b/>
                <w:bCs/>
                <w:color w:val="000000" w:themeColor="text1"/>
                <w:lang w:eastAsia="en-AU"/>
              </w:rPr>
            </w:pPr>
            <w:r w:rsidRPr="00214A66">
              <w:rPr>
                <w:b/>
                <w:bCs/>
                <w:color w:val="000000" w:themeColor="text1"/>
                <w:lang w:eastAsia="en-AU"/>
              </w:rPr>
              <w:t>Loss/deficit trend</w:t>
            </w:r>
          </w:p>
        </w:tc>
      </w:tr>
      <w:tr w:rsidR="001653ED" w14:paraId="37486C17" w14:textId="77777777" w:rsidTr="0012533D">
        <w:trPr>
          <w:trHeight w:val="300"/>
        </w:trPr>
        <w:tc>
          <w:tcPr>
            <w:tcW w:w="1036" w:type="dxa"/>
            <w:shd w:val="clear" w:color="auto" w:fill="auto"/>
            <w:vAlign w:val="bottom"/>
          </w:tcPr>
          <w:p w14:paraId="313E87B3" w14:textId="77777777" w:rsidR="001653ED" w:rsidRDefault="001653ED" w:rsidP="001653ED">
            <w:pPr>
              <w:rPr>
                <w:color w:val="000000" w:themeColor="text1"/>
                <w:lang w:eastAsia="en-AU"/>
              </w:rPr>
            </w:pPr>
            <w:r w:rsidRPr="759DB011">
              <w:rPr>
                <w:color w:val="000000" w:themeColor="text1"/>
                <w:lang w:eastAsia="en-AU"/>
              </w:rPr>
              <w:t>2015</w:t>
            </w:r>
          </w:p>
        </w:tc>
        <w:tc>
          <w:tcPr>
            <w:tcW w:w="2645" w:type="dxa"/>
            <w:shd w:val="clear" w:color="auto" w:fill="auto"/>
            <w:vAlign w:val="bottom"/>
          </w:tcPr>
          <w:p w14:paraId="46E8BD69" w14:textId="77777777" w:rsidR="001653ED" w:rsidRDefault="001653ED" w:rsidP="001653ED">
            <w:pPr>
              <w:rPr>
                <w:color w:val="000000" w:themeColor="text1"/>
                <w:lang w:eastAsia="en-AU"/>
              </w:rPr>
            </w:pPr>
            <w:r w:rsidRPr="759DB011">
              <w:rPr>
                <w:color w:val="000000" w:themeColor="text1"/>
                <w:lang w:eastAsia="en-AU"/>
              </w:rPr>
              <w:t>22 per cent</w:t>
            </w:r>
          </w:p>
        </w:tc>
        <w:tc>
          <w:tcPr>
            <w:tcW w:w="2835" w:type="dxa"/>
            <w:shd w:val="clear" w:color="auto" w:fill="auto"/>
            <w:vAlign w:val="bottom"/>
          </w:tcPr>
          <w:p w14:paraId="69B747BF" w14:textId="77777777" w:rsidR="001653ED" w:rsidRDefault="001653ED" w:rsidP="001653ED">
            <w:pPr>
              <w:rPr>
                <w:color w:val="000000" w:themeColor="text1"/>
                <w:lang w:eastAsia="en-AU"/>
              </w:rPr>
            </w:pPr>
            <w:r w:rsidRPr="759DB011">
              <w:rPr>
                <w:color w:val="000000" w:themeColor="text1"/>
                <w:lang w:eastAsia="en-AU"/>
              </w:rPr>
              <w:t>16 per cent</w:t>
            </w:r>
          </w:p>
        </w:tc>
      </w:tr>
      <w:tr w:rsidR="001653ED" w14:paraId="3049C83A" w14:textId="77777777" w:rsidTr="0012533D">
        <w:trPr>
          <w:trHeight w:val="300"/>
        </w:trPr>
        <w:tc>
          <w:tcPr>
            <w:tcW w:w="1036" w:type="dxa"/>
            <w:shd w:val="clear" w:color="auto" w:fill="auto"/>
            <w:vAlign w:val="bottom"/>
          </w:tcPr>
          <w:p w14:paraId="706771F0" w14:textId="77777777" w:rsidR="001653ED" w:rsidRDefault="001653ED" w:rsidP="001653ED">
            <w:pPr>
              <w:rPr>
                <w:color w:val="000000" w:themeColor="text1"/>
                <w:lang w:eastAsia="en-AU"/>
              </w:rPr>
            </w:pPr>
            <w:r w:rsidRPr="759DB011">
              <w:rPr>
                <w:color w:val="000000" w:themeColor="text1"/>
                <w:lang w:eastAsia="en-AU"/>
              </w:rPr>
              <w:t>2016</w:t>
            </w:r>
          </w:p>
        </w:tc>
        <w:tc>
          <w:tcPr>
            <w:tcW w:w="2645" w:type="dxa"/>
            <w:shd w:val="clear" w:color="auto" w:fill="auto"/>
            <w:vAlign w:val="bottom"/>
          </w:tcPr>
          <w:p w14:paraId="4B8AFE3F" w14:textId="77777777" w:rsidR="001653ED" w:rsidRDefault="001653ED" w:rsidP="001653ED">
            <w:pPr>
              <w:rPr>
                <w:color w:val="000000" w:themeColor="text1"/>
                <w:lang w:eastAsia="en-AU"/>
              </w:rPr>
            </w:pPr>
            <w:r w:rsidRPr="759DB011">
              <w:rPr>
                <w:color w:val="000000" w:themeColor="text1"/>
                <w:lang w:eastAsia="en-AU"/>
              </w:rPr>
              <w:t>17 per cent</w:t>
            </w:r>
          </w:p>
        </w:tc>
        <w:tc>
          <w:tcPr>
            <w:tcW w:w="2835" w:type="dxa"/>
            <w:shd w:val="clear" w:color="auto" w:fill="auto"/>
            <w:vAlign w:val="bottom"/>
          </w:tcPr>
          <w:p w14:paraId="2E488CAE" w14:textId="77777777" w:rsidR="001653ED" w:rsidRDefault="001653ED" w:rsidP="001653ED">
            <w:pPr>
              <w:rPr>
                <w:color w:val="000000" w:themeColor="text1"/>
                <w:lang w:eastAsia="en-AU"/>
              </w:rPr>
            </w:pPr>
            <w:r w:rsidRPr="759DB011">
              <w:rPr>
                <w:color w:val="000000" w:themeColor="text1"/>
                <w:lang w:eastAsia="en-AU"/>
              </w:rPr>
              <w:t>18 per cent</w:t>
            </w:r>
          </w:p>
        </w:tc>
      </w:tr>
      <w:tr w:rsidR="001653ED" w14:paraId="53AC6C40" w14:textId="77777777" w:rsidTr="0012533D">
        <w:trPr>
          <w:trHeight w:val="300"/>
        </w:trPr>
        <w:tc>
          <w:tcPr>
            <w:tcW w:w="1036" w:type="dxa"/>
            <w:shd w:val="clear" w:color="auto" w:fill="auto"/>
            <w:vAlign w:val="bottom"/>
          </w:tcPr>
          <w:p w14:paraId="19932AD2" w14:textId="77777777" w:rsidR="001653ED" w:rsidRDefault="001653ED" w:rsidP="001653ED">
            <w:pPr>
              <w:rPr>
                <w:color w:val="000000" w:themeColor="text1"/>
                <w:lang w:eastAsia="en-AU"/>
              </w:rPr>
            </w:pPr>
            <w:r w:rsidRPr="759DB011">
              <w:rPr>
                <w:color w:val="000000" w:themeColor="text1"/>
                <w:lang w:eastAsia="en-AU"/>
              </w:rPr>
              <w:t>2017</w:t>
            </w:r>
          </w:p>
        </w:tc>
        <w:tc>
          <w:tcPr>
            <w:tcW w:w="2645" w:type="dxa"/>
            <w:shd w:val="clear" w:color="auto" w:fill="auto"/>
            <w:vAlign w:val="bottom"/>
          </w:tcPr>
          <w:p w14:paraId="3DDE7449" w14:textId="77777777" w:rsidR="001653ED" w:rsidRDefault="001653ED" w:rsidP="001653ED">
            <w:pPr>
              <w:rPr>
                <w:color w:val="000000" w:themeColor="text1"/>
                <w:lang w:eastAsia="en-AU"/>
              </w:rPr>
            </w:pPr>
            <w:r w:rsidRPr="759DB011">
              <w:rPr>
                <w:color w:val="000000" w:themeColor="text1"/>
                <w:lang w:eastAsia="en-AU"/>
              </w:rPr>
              <w:t>24 per cent</w:t>
            </w:r>
          </w:p>
        </w:tc>
        <w:tc>
          <w:tcPr>
            <w:tcW w:w="2835" w:type="dxa"/>
            <w:shd w:val="clear" w:color="auto" w:fill="auto"/>
            <w:vAlign w:val="bottom"/>
          </w:tcPr>
          <w:p w14:paraId="1A1FDEA0" w14:textId="77777777" w:rsidR="001653ED" w:rsidRDefault="001653ED" w:rsidP="001653ED">
            <w:pPr>
              <w:rPr>
                <w:color w:val="000000" w:themeColor="text1"/>
                <w:lang w:eastAsia="en-AU"/>
              </w:rPr>
            </w:pPr>
            <w:r w:rsidRPr="759DB011">
              <w:rPr>
                <w:color w:val="000000" w:themeColor="text1"/>
                <w:lang w:eastAsia="en-AU"/>
              </w:rPr>
              <w:t>19 per cent</w:t>
            </w:r>
          </w:p>
        </w:tc>
      </w:tr>
      <w:tr w:rsidR="001653ED" w14:paraId="7A9C4DD2" w14:textId="77777777" w:rsidTr="0012533D">
        <w:trPr>
          <w:trHeight w:val="300"/>
        </w:trPr>
        <w:tc>
          <w:tcPr>
            <w:tcW w:w="1036" w:type="dxa"/>
            <w:shd w:val="clear" w:color="auto" w:fill="auto"/>
            <w:vAlign w:val="bottom"/>
          </w:tcPr>
          <w:p w14:paraId="18C1C212" w14:textId="77777777" w:rsidR="001653ED" w:rsidRDefault="001653ED" w:rsidP="001653ED">
            <w:pPr>
              <w:rPr>
                <w:color w:val="000000" w:themeColor="text1"/>
                <w:lang w:eastAsia="en-AU"/>
              </w:rPr>
            </w:pPr>
            <w:r w:rsidRPr="759DB011">
              <w:rPr>
                <w:color w:val="000000" w:themeColor="text1"/>
                <w:lang w:eastAsia="en-AU"/>
              </w:rPr>
              <w:t>2018</w:t>
            </w:r>
          </w:p>
        </w:tc>
        <w:tc>
          <w:tcPr>
            <w:tcW w:w="2645" w:type="dxa"/>
            <w:shd w:val="clear" w:color="auto" w:fill="auto"/>
            <w:vAlign w:val="bottom"/>
          </w:tcPr>
          <w:p w14:paraId="5C3EF8D1" w14:textId="77777777" w:rsidR="001653ED" w:rsidRDefault="001653ED" w:rsidP="001653ED">
            <w:pPr>
              <w:rPr>
                <w:color w:val="000000" w:themeColor="text1"/>
                <w:lang w:eastAsia="en-AU"/>
              </w:rPr>
            </w:pPr>
            <w:r w:rsidRPr="759DB011">
              <w:rPr>
                <w:color w:val="000000" w:themeColor="text1"/>
                <w:lang w:eastAsia="en-AU"/>
              </w:rPr>
              <w:t>23 per cent</w:t>
            </w:r>
          </w:p>
        </w:tc>
        <w:tc>
          <w:tcPr>
            <w:tcW w:w="2835" w:type="dxa"/>
            <w:shd w:val="clear" w:color="auto" w:fill="auto"/>
            <w:vAlign w:val="bottom"/>
          </w:tcPr>
          <w:p w14:paraId="76DC4051" w14:textId="77777777" w:rsidR="001653ED" w:rsidRDefault="001653ED" w:rsidP="001653ED">
            <w:pPr>
              <w:rPr>
                <w:color w:val="000000" w:themeColor="text1"/>
                <w:lang w:eastAsia="en-AU"/>
              </w:rPr>
            </w:pPr>
            <w:r w:rsidRPr="759DB011">
              <w:rPr>
                <w:color w:val="000000" w:themeColor="text1"/>
                <w:lang w:eastAsia="en-AU"/>
              </w:rPr>
              <w:t>21 per cent</w:t>
            </w:r>
          </w:p>
        </w:tc>
      </w:tr>
      <w:tr w:rsidR="001653ED" w14:paraId="682905A6" w14:textId="77777777" w:rsidTr="0012533D">
        <w:trPr>
          <w:trHeight w:val="300"/>
        </w:trPr>
        <w:tc>
          <w:tcPr>
            <w:tcW w:w="1036" w:type="dxa"/>
            <w:shd w:val="clear" w:color="auto" w:fill="auto"/>
            <w:vAlign w:val="bottom"/>
          </w:tcPr>
          <w:p w14:paraId="59626ECB" w14:textId="77777777" w:rsidR="001653ED" w:rsidRDefault="001653ED" w:rsidP="001653ED">
            <w:pPr>
              <w:rPr>
                <w:color w:val="000000" w:themeColor="text1"/>
                <w:lang w:eastAsia="en-AU"/>
              </w:rPr>
            </w:pPr>
            <w:r w:rsidRPr="759DB011">
              <w:rPr>
                <w:color w:val="000000" w:themeColor="text1"/>
                <w:lang w:eastAsia="en-AU"/>
              </w:rPr>
              <w:lastRenderedPageBreak/>
              <w:t>2019</w:t>
            </w:r>
          </w:p>
        </w:tc>
        <w:tc>
          <w:tcPr>
            <w:tcW w:w="2645" w:type="dxa"/>
            <w:shd w:val="clear" w:color="auto" w:fill="auto"/>
            <w:vAlign w:val="bottom"/>
          </w:tcPr>
          <w:p w14:paraId="3041452D" w14:textId="77777777" w:rsidR="001653ED" w:rsidRDefault="001653ED" w:rsidP="001653ED">
            <w:pPr>
              <w:rPr>
                <w:color w:val="000000" w:themeColor="text1"/>
                <w:lang w:eastAsia="en-AU"/>
              </w:rPr>
            </w:pPr>
            <w:r w:rsidRPr="759DB011">
              <w:rPr>
                <w:color w:val="000000" w:themeColor="text1"/>
                <w:lang w:eastAsia="en-AU"/>
              </w:rPr>
              <w:t>13 per cent</w:t>
            </w:r>
          </w:p>
        </w:tc>
        <w:tc>
          <w:tcPr>
            <w:tcW w:w="2835" w:type="dxa"/>
            <w:shd w:val="clear" w:color="auto" w:fill="auto"/>
            <w:vAlign w:val="bottom"/>
          </w:tcPr>
          <w:p w14:paraId="5307AA9C" w14:textId="77777777" w:rsidR="001653ED" w:rsidRDefault="001653ED" w:rsidP="001653ED">
            <w:pPr>
              <w:rPr>
                <w:color w:val="000000" w:themeColor="text1"/>
                <w:lang w:eastAsia="en-AU"/>
              </w:rPr>
            </w:pPr>
            <w:r w:rsidRPr="759DB011">
              <w:rPr>
                <w:color w:val="000000" w:themeColor="text1"/>
                <w:lang w:eastAsia="en-AU"/>
              </w:rPr>
              <w:t>23 per cent</w:t>
            </w:r>
          </w:p>
        </w:tc>
      </w:tr>
      <w:tr w:rsidR="001653ED" w14:paraId="69E9CDAA" w14:textId="77777777" w:rsidTr="0012533D">
        <w:trPr>
          <w:trHeight w:val="300"/>
        </w:trPr>
        <w:tc>
          <w:tcPr>
            <w:tcW w:w="1036" w:type="dxa"/>
            <w:shd w:val="clear" w:color="auto" w:fill="auto"/>
            <w:vAlign w:val="bottom"/>
          </w:tcPr>
          <w:p w14:paraId="08CAAF7D" w14:textId="77777777" w:rsidR="001653ED" w:rsidRDefault="001653ED" w:rsidP="001653ED">
            <w:pPr>
              <w:rPr>
                <w:color w:val="000000" w:themeColor="text1"/>
                <w:lang w:eastAsia="en-AU"/>
              </w:rPr>
            </w:pPr>
            <w:r w:rsidRPr="759DB011">
              <w:rPr>
                <w:color w:val="000000" w:themeColor="text1"/>
                <w:lang w:eastAsia="en-AU"/>
              </w:rPr>
              <w:t>2020</w:t>
            </w:r>
          </w:p>
        </w:tc>
        <w:tc>
          <w:tcPr>
            <w:tcW w:w="2645" w:type="dxa"/>
            <w:shd w:val="clear" w:color="auto" w:fill="auto"/>
            <w:vAlign w:val="bottom"/>
          </w:tcPr>
          <w:p w14:paraId="62BAFD63" w14:textId="77777777" w:rsidR="001653ED" w:rsidRDefault="001653ED" w:rsidP="001653ED">
            <w:pPr>
              <w:rPr>
                <w:color w:val="000000" w:themeColor="text1"/>
                <w:lang w:eastAsia="en-AU"/>
              </w:rPr>
            </w:pPr>
            <w:r w:rsidRPr="759DB011">
              <w:rPr>
                <w:color w:val="000000" w:themeColor="text1"/>
                <w:lang w:eastAsia="en-AU"/>
              </w:rPr>
              <w:t>16 per cent</w:t>
            </w:r>
          </w:p>
        </w:tc>
        <w:tc>
          <w:tcPr>
            <w:tcW w:w="2835" w:type="dxa"/>
            <w:shd w:val="clear" w:color="auto" w:fill="auto"/>
            <w:vAlign w:val="bottom"/>
          </w:tcPr>
          <w:p w14:paraId="3A97BAE6" w14:textId="77777777" w:rsidR="001653ED" w:rsidRDefault="001653ED" w:rsidP="001653ED">
            <w:pPr>
              <w:rPr>
                <w:color w:val="000000" w:themeColor="text1"/>
                <w:lang w:eastAsia="en-AU"/>
              </w:rPr>
            </w:pPr>
            <w:r w:rsidRPr="759DB011">
              <w:rPr>
                <w:color w:val="000000" w:themeColor="text1"/>
                <w:lang w:eastAsia="en-AU"/>
              </w:rPr>
              <w:t>25 per cent</w:t>
            </w:r>
          </w:p>
        </w:tc>
      </w:tr>
      <w:tr w:rsidR="001653ED" w14:paraId="47B09E25" w14:textId="77777777" w:rsidTr="0012533D">
        <w:trPr>
          <w:trHeight w:val="300"/>
        </w:trPr>
        <w:tc>
          <w:tcPr>
            <w:tcW w:w="1036" w:type="dxa"/>
            <w:shd w:val="clear" w:color="auto" w:fill="auto"/>
            <w:vAlign w:val="bottom"/>
          </w:tcPr>
          <w:p w14:paraId="4983D0DE" w14:textId="77777777" w:rsidR="001653ED" w:rsidRDefault="001653ED" w:rsidP="001653ED">
            <w:pPr>
              <w:rPr>
                <w:color w:val="000000" w:themeColor="text1"/>
                <w:lang w:eastAsia="en-AU"/>
              </w:rPr>
            </w:pPr>
            <w:r w:rsidRPr="759DB011">
              <w:rPr>
                <w:color w:val="000000" w:themeColor="text1"/>
                <w:lang w:eastAsia="en-AU"/>
              </w:rPr>
              <w:t>2021</w:t>
            </w:r>
          </w:p>
        </w:tc>
        <w:tc>
          <w:tcPr>
            <w:tcW w:w="2645" w:type="dxa"/>
            <w:shd w:val="clear" w:color="auto" w:fill="auto"/>
            <w:vAlign w:val="bottom"/>
          </w:tcPr>
          <w:p w14:paraId="60F0B3E1" w14:textId="77777777" w:rsidR="001653ED" w:rsidRDefault="001653ED" w:rsidP="001653ED">
            <w:pPr>
              <w:rPr>
                <w:color w:val="000000" w:themeColor="text1"/>
                <w:lang w:eastAsia="en-AU"/>
              </w:rPr>
            </w:pPr>
            <w:r w:rsidRPr="759DB011">
              <w:rPr>
                <w:color w:val="000000" w:themeColor="text1"/>
                <w:lang w:eastAsia="en-AU"/>
              </w:rPr>
              <w:t>23 per cent</w:t>
            </w:r>
          </w:p>
        </w:tc>
        <w:tc>
          <w:tcPr>
            <w:tcW w:w="2835" w:type="dxa"/>
            <w:shd w:val="clear" w:color="auto" w:fill="auto"/>
            <w:vAlign w:val="bottom"/>
          </w:tcPr>
          <w:p w14:paraId="0D31B9C6" w14:textId="77777777" w:rsidR="001653ED" w:rsidRDefault="001653ED" w:rsidP="001653ED">
            <w:pPr>
              <w:rPr>
                <w:color w:val="000000" w:themeColor="text1"/>
                <w:lang w:eastAsia="en-AU"/>
              </w:rPr>
            </w:pPr>
            <w:r w:rsidRPr="759DB011">
              <w:rPr>
                <w:color w:val="000000" w:themeColor="text1"/>
                <w:lang w:eastAsia="en-AU"/>
              </w:rPr>
              <w:t>27 per cent</w:t>
            </w:r>
          </w:p>
        </w:tc>
      </w:tr>
      <w:tr w:rsidR="001653ED" w14:paraId="11E0AD94" w14:textId="77777777" w:rsidTr="0012533D">
        <w:trPr>
          <w:trHeight w:val="300"/>
        </w:trPr>
        <w:tc>
          <w:tcPr>
            <w:tcW w:w="1036" w:type="dxa"/>
            <w:shd w:val="clear" w:color="auto" w:fill="auto"/>
            <w:vAlign w:val="bottom"/>
          </w:tcPr>
          <w:p w14:paraId="5DAFDAA4" w14:textId="77777777" w:rsidR="001653ED" w:rsidRDefault="001653ED" w:rsidP="001653ED">
            <w:pPr>
              <w:rPr>
                <w:color w:val="000000" w:themeColor="text1"/>
                <w:lang w:eastAsia="en-AU"/>
              </w:rPr>
            </w:pPr>
            <w:r w:rsidRPr="759DB011">
              <w:rPr>
                <w:color w:val="000000" w:themeColor="text1"/>
                <w:lang w:eastAsia="en-AU"/>
              </w:rPr>
              <w:t>2022</w:t>
            </w:r>
          </w:p>
        </w:tc>
        <w:tc>
          <w:tcPr>
            <w:tcW w:w="2645" w:type="dxa"/>
            <w:shd w:val="clear" w:color="auto" w:fill="auto"/>
            <w:vAlign w:val="bottom"/>
          </w:tcPr>
          <w:p w14:paraId="3E63A051" w14:textId="77777777" w:rsidR="001653ED" w:rsidRDefault="001653ED" w:rsidP="001653ED">
            <w:pPr>
              <w:rPr>
                <w:color w:val="000000" w:themeColor="text1"/>
                <w:lang w:eastAsia="en-AU"/>
              </w:rPr>
            </w:pPr>
            <w:r w:rsidRPr="759DB011">
              <w:rPr>
                <w:color w:val="000000" w:themeColor="text1"/>
                <w:lang w:eastAsia="en-AU"/>
              </w:rPr>
              <w:t>36 per cent</w:t>
            </w:r>
          </w:p>
        </w:tc>
        <w:tc>
          <w:tcPr>
            <w:tcW w:w="2835" w:type="dxa"/>
            <w:shd w:val="clear" w:color="auto" w:fill="auto"/>
            <w:vAlign w:val="bottom"/>
          </w:tcPr>
          <w:p w14:paraId="0F0A1BFF" w14:textId="77777777" w:rsidR="001653ED" w:rsidRDefault="001653ED" w:rsidP="001653ED">
            <w:pPr>
              <w:rPr>
                <w:color w:val="000000" w:themeColor="text1"/>
                <w:lang w:eastAsia="en-AU"/>
              </w:rPr>
            </w:pPr>
            <w:r w:rsidRPr="759DB011">
              <w:rPr>
                <w:color w:val="000000" w:themeColor="text1"/>
                <w:lang w:eastAsia="en-AU"/>
              </w:rPr>
              <w:t>29 per cent</w:t>
            </w:r>
          </w:p>
        </w:tc>
      </w:tr>
      <w:tr w:rsidR="001653ED" w14:paraId="10A76B6C" w14:textId="77777777" w:rsidTr="0012533D">
        <w:trPr>
          <w:trHeight w:val="300"/>
        </w:trPr>
        <w:tc>
          <w:tcPr>
            <w:tcW w:w="1036" w:type="dxa"/>
            <w:shd w:val="clear" w:color="auto" w:fill="auto"/>
            <w:vAlign w:val="bottom"/>
          </w:tcPr>
          <w:p w14:paraId="736FB31F" w14:textId="77777777" w:rsidR="001653ED" w:rsidRDefault="001653ED" w:rsidP="001653ED">
            <w:pPr>
              <w:rPr>
                <w:color w:val="000000" w:themeColor="text1"/>
                <w:lang w:eastAsia="en-AU"/>
              </w:rPr>
            </w:pPr>
            <w:r w:rsidRPr="759DB011">
              <w:rPr>
                <w:color w:val="000000" w:themeColor="text1"/>
                <w:lang w:eastAsia="en-AU"/>
              </w:rPr>
              <w:t>2023</w:t>
            </w:r>
          </w:p>
        </w:tc>
        <w:tc>
          <w:tcPr>
            <w:tcW w:w="2645" w:type="dxa"/>
            <w:shd w:val="clear" w:color="auto" w:fill="auto"/>
            <w:vAlign w:val="bottom"/>
          </w:tcPr>
          <w:p w14:paraId="1F379A7C" w14:textId="77777777" w:rsidR="001653ED" w:rsidRDefault="001653ED" w:rsidP="001653ED">
            <w:pPr>
              <w:rPr>
                <w:color w:val="000000" w:themeColor="text1"/>
                <w:lang w:eastAsia="en-AU"/>
              </w:rPr>
            </w:pPr>
            <w:r w:rsidRPr="759DB011">
              <w:rPr>
                <w:color w:val="000000" w:themeColor="text1"/>
                <w:lang w:eastAsia="en-AU"/>
              </w:rPr>
              <w:t>26 per cent</w:t>
            </w:r>
          </w:p>
        </w:tc>
        <w:tc>
          <w:tcPr>
            <w:tcW w:w="2835" w:type="dxa"/>
            <w:shd w:val="clear" w:color="auto" w:fill="auto"/>
            <w:vAlign w:val="bottom"/>
          </w:tcPr>
          <w:p w14:paraId="332E4204" w14:textId="77777777" w:rsidR="001653ED" w:rsidRDefault="001653ED" w:rsidP="001653ED">
            <w:pPr>
              <w:rPr>
                <w:color w:val="000000" w:themeColor="text1"/>
                <w:lang w:eastAsia="en-AU"/>
              </w:rPr>
            </w:pPr>
            <w:r w:rsidRPr="759DB011">
              <w:rPr>
                <w:color w:val="000000" w:themeColor="text1"/>
                <w:lang w:eastAsia="en-AU"/>
              </w:rPr>
              <w:t>31 per cent</w:t>
            </w:r>
          </w:p>
        </w:tc>
      </w:tr>
      <w:tr w:rsidR="001653ED" w14:paraId="4728C4B5" w14:textId="77777777" w:rsidTr="0012533D">
        <w:trPr>
          <w:trHeight w:val="300"/>
        </w:trPr>
        <w:tc>
          <w:tcPr>
            <w:tcW w:w="1036" w:type="dxa"/>
            <w:shd w:val="clear" w:color="auto" w:fill="auto"/>
            <w:vAlign w:val="bottom"/>
          </w:tcPr>
          <w:p w14:paraId="01D0CB28" w14:textId="77777777" w:rsidR="001653ED" w:rsidRDefault="001653ED" w:rsidP="001653ED">
            <w:pPr>
              <w:rPr>
                <w:color w:val="000000" w:themeColor="text1"/>
                <w:lang w:eastAsia="en-AU"/>
              </w:rPr>
            </w:pPr>
            <w:r w:rsidRPr="759DB011">
              <w:rPr>
                <w:color w:val="000000" w:themeColor="text1"/>
                <w:lang w:eastAsia="en-AU"/>
              </w:rPr>
              <w:t>2024</w:t>
            </w:r>
          </w:p>
        </w:tc>
        <w:tc>
          <w:tcPr>
            <w:tcW w:w="2645" w:type="dxa"/>
            <w:shd w:val="clear" w:color="auto" w:fill="auto"/>
            <w:vAlign w:val="bottom"/>
          </w:tcPr>
          <w:p w14:paraId="420E647F" w14:textId="77777777" w:rsidR="001653ED" w:rsidRDefault="001653ED" w:rsidP="001653ED">
            <w:pPr>
              <w:rPr>
                <w:color w:val="000000" w:themeColor="text1"/>
                <w:lang w:eastAsia="en-AU"/>
              </w:rPr>
            </w:pPr>
            <w:r w:rsidRPr="759DB011">
              <w:rPr>
                <w:color w:val="000000" w:themeColor="text1"/>
                <w:lang w:eastAsia="en-AU"/>
              </w:rPr>
              <w:t>43 per cent</w:t>
            </w:r>
          </w:p>
        </w:tc>
        <w:tc>
          <w:tcPr>
            <w:tcW w:w="2835" w:type="dxa"/>
            <w:shd w:val="clear" w:color="auto" w:fill="auto"/>
            <w:vAlign w:val="bottom"/>
          </w:tcPr>
          <w:p w14:paraId="3D322100" w14:textId="77777777" w:rsidR="001653ED" w:rsidRDefault="001653ED" w:rsidP="001653ED">
            <w:pPr>
              <w:rPr>
                <w:color w:val="000000" w:themeColor="text1"/>
                <w:lang w:eastAsia="en-AU"/>
              </w:rPr>
            </w:pPr>
            <w:r w:rsidRPr="759DB011">
              <w:rPr>
                <w:color w:val="000000" w:themeColor="text1"/>
                <w:lang w:eastAsia="en-AU"/>
              </w:rPr>
              <w:t>33 per cent</w:t>
            </w:r>
          </w:p>
        </w:tc>
      </w:tr>
    </w:tbl>
    <w:p w14:paraId="1F2E3FD0" w14:textId="198D50A0" w:rsidR="00776E2B" w:rsidRDefault="00776E2B" w:rsidP="001653ED">
      <w:pPr>
        <w:pStyle w:val="Caption"/>
        <w:spacing w:before="360"/>
      </w:pPr>
      <w:bookmarkStart w:id="58" w:name="_Ref184195945"/>
      <w:r w:rsidRPr="002C026F">
        <w:rPr>
          <w:b/>
          <w:bCs/>
        </w:rPr>
        <w:t xml:space="preserve">Table </w:t>
      </w:r>
      <w:r w:rsidRPr="002C026F">
        <w:rPr>
          <w:b/>
          <w:bCs/>
        </w:rPr>
        <w:fldChar w:fldCharType="begin"/>
      </w:r>
      <w:r w:rsidRPr="002C026F">
        <w:rPr>
          <w:b/>
          <w:bCs/>
        </w:rPr>
        <w:instrText xml:space="preserve"> SEQ Table \* ARABIC </w:instrText>
      </w:r>
      <w:r w:rsidRPr="002C026F">
        <w:rPr>
          <w:b/>
          <w:bCs/>
        </w:rPr>
        <w:fldChar w:fldCharType="separate"/>
      </w:r>
      <w:r w:rsidR="00DC68AF">
        <w:rPr>
          <w:b/>
          <w:bCs/>
          <w:noProof/>
        </w:rPr>
        <w:t>19</w:t>
      </w:r>
      <w:r w:rsidRPr="002C026F">
        <w:rPr>
          <w:b/>
          <w:bCs/>
        </w:rPr>
        <w:fldChar w:fldCharType="end"/>
      </w:r>
      <w:bookmarkEnd w:id="57"/>
      <w:bookmarkEnd w:id="58"/>
      <w:r w:rsidRPr="002C026F">
        <w:rPr>
          <w:b/>
          <w:bCs/>
        </w:rPr>
        <w:t xml:space="preserve"> </w:t>
      </w:r>
      <w:r w:rsidRPr="002C026F">
        <w:t xml:space="preserve">Do you expect your organisation will make a loss (deficit), break even or a profit (surplus) on its disability services in this current financial year (year ending 30 June 2025)? Statement </w:t>
      </w:r>
      <w:r w:rsidRPr="002C026F">
        <w:rPr>
          <w:rFonts w:hint="eastAsia"/>
        </w:rPr>
        <w:t>–</w:t>
      </w:r>
      <w:r w:rsidRPr="002C026F">
        <w:t xml:space="preserve"> </w:t>
      </w:r>
      <w:r w:rsidR="00CC1235" w:rsidRPr="002C026F">
        <w:t xml:space="preserve">Make </w:t>
      </w:r>
      <w:r w:rsidRPr="002C026F">
        <w:t>a profit/surplus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Do you expect your organisation will make a loss (deficit), break even or a profit (surplus) on its disability services in this current financial year (year ending 30 June 2025)? Statement – make a profit/surplus"/>
        <w:tblDescription w:val="A table showing the percentage of organisations expecting to make a profit in the current financial year (30 June 2025). Disability services only. Trend data from 2015 to 2024."/>
      </w:tblPr>
      <w:tblGrid>
        <w:gridCol w:w="1020"/>
        <w:gridCol w:w="2803"/>
        <w:gridCol w:w="2693"/>
      </w:tblGrid>
      <w:tr w:rsidR="004D1455" w:rsidRPr="00214A66" w14:paraId="19629576" w14:textId="77777777" w:rsidTr="00214A66">
        <w:trPr>
          <w:trHeight w:val="300"/>
          <w:tblHeader/>
        </w:trPr>
        <w:tc>
          <w:tcPr>
            <w:tcW w:w="1020" w:type="dxa"/>
            <w:shd w:val="clear" w:color="auto" w:fill="D9D9D9" w:themeFill="background1" w:themeFillShade="D9"/>
            <w:vAlign w:val="center"/>
          </w:tcPr>
          <w:p w14:paraId="676FD9C3" w14:textId="77777777" w:rsidR="004D1455" w:rsidRPr="00214A66" w:rsidRDefault="004D1455" w:rsidP="00214A66">
            <w:pPr>
              <w:rPr>
                <w:b/>
                <w:bCs/>
                <w:lang w:eastAsia="en-AU"/>
              </w:rPr>
            </w:pPr>
            <w:bookmarkStart w:id="59" w:name="_Ref183879277"/>
            <w:r w:rsidRPr="00214A66">
              <w:rPr>
                <w:b/>
                <w:bCs/>
                <w:lang w:eastAsia="en-AU"/>
              </w:rPr>
              <w:t>Ye</w:t>
            </w:r>
            <w:bookmarkStart w:id="60" w:name="Title_Table_19"/>
            <w:bookmarkEnd w:id="60"/>
            <w:r w:rsidRPr="00214A66">
              <w:rPr>
                <w:b/>
                <w:bCs/>
                <w:lang w:eastAsia="en-AU"/>
              </w:rPr>
              <w:t>ar</w:t>
            </w:r>
          </w:p>
        </w:tc>
        <w:tc>
          <w:tcPr>
            <w:tcW w:w="2803" w:type="dxa"/>
            <w:shd w:val="clear" w:color="auto" w:fill="D9D9D9" w:themeFill="background1" w:themeFillShade="D9"/>
            <w:vAlign w:val="center"/>
          </w:tcPr>
          <w:p w14:paraId="4902026E" w14:textId="77777777" w:rsidR="004D1455" w:rsidRPr="00214A66" w:rsidRDefault="004D1455" w:rsidP="00214A66">
            <w:pPr>
              <w:rPr>
                <w:b/>
                <w:bCs/>
                <w:color w:val="000000" w:themeColor="text1"/>
                <w:lang w:eastAsia="en-AU"/>
              </w:rPr>
            </w:pPr>
            <w:r w:rsidRPr="00214A66">
              <w:rPr>
                <w:b/>
                <w:bCs/>
                <w:color w:val="000000" w:themeColor="text1"/>
                <w:lang w:eastAsia="en-AU"/>
              </w:rPr>
              <w:t>Make a profit/surplus</w:t>
            </w:r>
          </w:p>
        </w:tc>
        <w:tc>
          <w:tcPr>
            <w:tcW w:w="2693" w:type="dxa"/>
            <w:shd w:val="clear" w:color="auto" w:fill="D9D9D9" w:themeFill="background1" w:themeFillShade="D9"/>
            <w:vAlign w:val="center"/>
          </w:tcPr>
          <w:p w14:paraId="6D2401B6" w14:textId="77777777" w:rsidR="004D1455" w:rsidRPr="00214A66" w:rsidRDefault="004D1455" w:rsidP="00214A66">
            <w:pPr>
              <w:rPr>
                <w:b/>
                <w:bCs/>
                <w:color w:val="000000" w:themeColor="text1"/>
                <w:lang w:eastAsia="en-AU"/>
              </w:rPr>
            </w:pPr>
            <w:r w:rsidRPr="00214A66">
              <w:rPr>
                <w:b/>
                <w:bCs/>
                <w:color w:val="000000" w:themeColor="text1"/>
                <w:lang w:eastAsia="en-AU"/>
              </w:rPr>
              <w:t>Profit/surplus trend</w:t>
            </w:r>
          </w:p>
        </w:tc>
      </w:tr>
      <w:tr w:rsidR="004D1455" w14:paraId="09345F88" w14:textId="77777777" w:rsidTr="00214A66">
        <w:trPr>
          <w:trHeight w:val="300"/>
        </w:trPr>
        <w:tc>
          <w:tcPr>
            <w:tcW w:w="1020" w:type="dxa"/>
            <w:shd w:val="clear" w:color="auto" w:fill="auto"/>
            <w:vAlign w:val="center"/>
          </w:tcPr>
          <w:p w14:paraId="760C8A88" w14:textId="77777777" w:rsidR="004D1455" w:rsidRDefault="004D1455" w:rsidP="00F91A85">
            <w:pPr>
              <w:rPr>
                <w:lang w:eastAsia="en-AU"/>
              </w:rPr>
            </w:pPr>
            <w:r w:rsidRPr="759DB011">
              <w:rPr>
                <w:lang w:eastAsia="en-AU"/>
              </w:rPr>
              <w:t>2015</w:t>
            </w:r>
          </w:p>
        </w:tc>
        <w:tc>
          <w:tcPr>
            <w:tcW w:w="2803" w:type="dxa"/>
            <w:shd w:val="clear" w:color="auto" w:fill="auto"/>
            <w:vAlign w:val="center"/>
          </w:tcPr>
          <w:p w14:paraId="5A2B8C39" w14:textId="77777777" w:rsidR="004D1455" w:rsidRDefault="004D1455" w:rsidP="00F91A85">
            <w:pPr>
              <w:rPr>
                <w:lang w:eastAsia="en-AU"/>
              </w:rPr>
            </w:pPr>
            <w:r w:rsidRPr="759DB011">
              <w:rPr>
                <w:lang w:eastAsia="en-AU"/>
              </w:rPr>
              <w:t>55 per cent</w:t>
            </w:r>
          </w:p>
        </w:tc>
        <w:tc>
          <w:tcPr>
            <w:tcW w:w="2693" w:type="dxa"/>
            <w:shd w:val="clear" w:color="auto" w:fill="auto"/>
            <w:vAlign w:val="center"/>
          </w:tcPr>
          <w:p w14:paraId="53AF5A9F" w14:textId="77777777" w:rsidR="004D1455" w:rsidRDefault="004D1455" w:rsidP="00F91A85">
            <w:pPr>
              <w:rPr>
                <w:lang w:eastAsia="en-AU"/>
              </w:rPr>
            </w:pPr>
            <w:r w:rsidRPr="759DB011">
              <w:rPr>
                <w:lang w:eastAsia="en-AU"/>
              </w:rPr>
              <w:t>51 per cent</w:t>
            </w:r>
          </w:p>
        </w:tc>
      </w:tr>
      <w:tr w:rsidR="004D1455" w14:paraId="602C7A0E" w14:textId="77777777" w:rsidTr="00214A66">
        <w:trPr>
          <w:trHeight w:val="300"/>
        </w:trPr>
        <w:tc>
          <w:tcPr>
            <w:tcW w:w="1020" w:type="dxa"/>
            <w:shd w:val="clear" w:color="auto" w:fill="auto"/>
            <w:vAlign w:val="center"/>
          </w:tcPr>
          <w:p w14:paraId="394188BF" w14:textId="77777777" w:rsidR="004D1455" w:rsidRDefault="004D1455" w:rsidP="00F91A85">
            <w:pPr>
              <w:rPr>
                <w:lang w:eastAsia="en-AU"/>
              </w:rPr>
            </w:pPr>
            <w:r w:rsidRPr="759DB011">
              <w:rPr>
                <w:lang w:eastAsia="en-AU"/>
              </w:rPr>
              <w:t>2016</w:t>
            </w:r>
          </w:p>
        </w:tc>
        <w:tc>
          <w:tcPr>
            <w:tcW w:w="2803" w:type="dxa"/>
            <w:shd w:val="clear" w:color="auto" w:fill="auto"/>
            <w:vAlign w:val="center"/>
          </w:tcPr>
          <w:p w14:paraId="2227E4E6" w14:textId="77777777" w:rsidR="004D1455" w:rsidRDefault="004D1455" w:rsidP="00F91A85">
            <w:pPr>
              <w:rPr>
                <w:lang w:eastAsia="en-AU"/>
              </w:rPr>
            </w:pPr>
            <w:r w:rsidRPr="759DB011">
              <w:rPr>
                <w:lang w:eastAsia="en-AU"/>
              </w:rPr>
              <w:t>40 per cent</w:t>
            </w:r>
          </w:p>
        </w:tc>
        <w:tc>
          <w:tcPr>
            <w:tcW w:w="2693" w:type="dxa"/>
            <w:shd w:val="clear" w:color="auto" w:fill="auto"/>
            <w:vAlign w:val="center"/>
          </w:tcPr>
          <w:p w14:paraId="6F851967" w14:textId="77777777" w:rsidR="004D1455" w:rsidRDefault="004D1455" w:rsidP="00F91A85">
            <w:pPr>
              <w:rPr>
                <w:lang w:eastAsia="en-AU"/>
              </w:rPr>
            </w:pPr>
            <w:r w:rsidRPr="759DB011">
              <w:rPr>
                <w:lang w:eastAsia="en-AU"/>
              </w:rPr>
              <w:t>50 per cent</w:t>
            </w:r>
          </w:p>
        </w:tc>
      </w:tr>
      <w:tr w:rsidR="004D1455" w14:paraId="396A8EE2" w14:textId="77777777" w:rsidTr="00214A66">
        <w:trPr>
          <w:trHeight w:val="300"/>
        </w:trPr>
        <w:tc>
          <w:tcPr>
            <w:tcW w:w="1020" w:type="dxa"/>
            <w:shd w:val="clear" w:color="auto" w:fill="auto"/>
            <w:vAlign w:val="center"/>
          </w:tcPr>
          <w:p w14:paraId="25534BD2" w14:textId="77777777" w:rsidR="004D1455" w:rsidRDefault="004D1455" w:rsidP="00F91A85">
            <w:pPr>
              <w:rPr>
                <w:lang w:eastAsia="en-AU"/>
              </w:rPr>
            </w:pPr>
            <w:r w:rsidRPr="759DB011">
              <w:rPr>
                <w:lang w:eastAsia="en-AU"/>
              </w:rPr>
              <w:t>2017</w:t>
            </w:r>
          </w:p>
        </w:tc>
        <w:tc>
          <w:tcPr>
            <w:tcW w:w="2803" w:type="dxa"/>
            <w:shd w:val="clear" w:color="auto" w:fill="auto"/>
            <w:vAlign w:val="center"/>
          </w:tcPr>
          <w:p w14:paraId="07907DE0" w14:textId="77777777" w:rsidR="004D1455" w:rsidRDefault="004D1455" w:rsidP="00F91A85">
            <w:pPr>
              <w:rPr>
                <w:lang w:eastAsia="en-AU"/>
              </w:rPr>
            </w:pPr>
            <w:r w:rsidRPr="759DB011">
              <w:rPr>
                <w:lang w:eastAsia="en-AU"/>
              </w:rPr>
              <w:t>43 per cent</w:t>
            </w:r>
          </w:p>
        </w:tc>
        <w:tc>
          <w:tcPr>
            <w:tcW w:w="2693" w:type="dxa"/>
            <w:shd w:val="clear" w:color="auto" w:fill="auto"/>
            <w:vAlign w:val="center"/>
          </w:tcPr>
          <w:p w14:paraId="4D39B1E5" w14:textId="77777777" w:rsidR="004D1455" w:rsidRDefault="004D1455" w:rsidP="00F91A85">
            <w:pPr>
              <w:rPr>
                <w:lang w:eastAsia="en-AU"/>
              </w:rPr>
            </w:pPr>
            <w:r w:rsidRPr="759DB011">
              <w:rPr>
                <w:lang w:eastAsia="en-AU"/>
              </w:rPr>
              <w:t>49 per cent</w:t>
            </w:r>
          </w:p>
        </w:tc>
      </w:tr>
      <w:tr w:rsidR="004D1455" w14:paraId="012C1CC7" w14:textId="77777777" w:rsidTr="00214A66">
        <w:trPr>
          <w:trHeight w:val="300"/>
        </w:trPr>
        <w:tc>
          <w:tcPr>
            <w:tcW w:w="1020" w:type="dxa"/>
            <w:shd w:val="clear" w:color="auto" w:fill="auto"/>
            <w:vAlign w:val="center"/>
          </w:tcPr>
          <w:p w14:paraId="47F85522" w14:textId="77777777" w:rsidR="004D1455" w:rsidRDefault="004D1455" w:rsidP="00F91A85">
            <w:pPr>
              <w:rPr>
                <w:lang w:eastAsia="en-AU"/>
              </w:rPr>
            </w:pPr>
            <w:r w:rsidRPr="759DB011">
              <w:rPr>
                <w:lang w:eastAsia="en-AU"/>
              </w:rPr>
              <w:t>2018</w:t>
            </w:r>
          </w:p>
        </w:tc>
        <w:tc>
          <w:tcPr>
            <w:tcW w:w="2803" w:type="dxa"/>
            <w:shd w:val="clear" w:color="auto" w:fill="auto"/>
            <w:vAlign w:val="center"/>
          </w:tcPr>
          <w:p w14:paraId="1CE6DBCF" w14:textId="77777777" w:rsidR="004D1455" w:rsidRDefault="004D1455" w:rsidP="00F91A85">
            <w:pPr>
              <w:rPr>
                <w:lang w:eastAsia="en-AU"/>
              </w:rPr>
            </w:pPr>
            <w:r w:rsidRPr="759DB011">
              <w:rPr>
                <w:lang w:eastAsia="en-AU"/>
              </w:rPr>
              <w:t>43 per cent</w:t>
            </w:r>
          </w:p>
        </w:tc>
        <w:tc>
          <w:tcPr>
            <w:tcW w:w="2693" w:type="dxa"/>
            <w:shd w:val="clear" w:color="auto" w:fill="auto"/>
            <w:vAlign w:val="center"/>
          </w:tcPr>
          <w:p w14:paraId="5F8B6199" w14:textId="77777777" w:rsidR="004D1455" w:rsidRDefault="004D1455" w:rsidP="00F91A85">
            <w:pPr>
              <w:rPr>
                <w:lang w:eastAsia="en-AU"/>
              </w:rPr>
            </w:pPr>
            <w:r w:rsidRPr="759DB011">
              <w:rPr>
                <w:lang w:eastAsia="en-AU"/>
              </w:rPr>
              <w:t>48 per cent</w:t>
            </w:r>
          </w:p>
        </w:tc>
      </w:tr>
      <w:tr w:rsidR="004D1455" w14:paraId="1A7605F2" w14:textId="77777777" w:rsidTr="00214A66">
        <w:trPr>
          <w:trHeight w:val="300"/>
        </w:trPr>
        <w:tc>
          <w:tcPr>
            <w:tcW w:w="1020" w:type="dxa"/>
            <w:shd w:val="clear" w:color="auto" w:fill="auto"/>
            <w:vAlign w:val="center"/>
          </w:tcPr>
          <w:p w14:paraId="1458AAE1" w14:textId="77777777" w:rsidR="004D1455" w:rsidRDefault="004D1455" w:rsidP="00F91A85">
            <w:pPr>
              <w:rPr>
                <w:lang w:eastAsia="en-AU"/>
              </w:rPr>
            </w:pPr>
            <w:r w:rsidRPr="759DB011">
              <w:rPr>
                <w:lang w:eastAsia="en-AU"/>
              </w:rPr>
              <w:t>2019</w:t>
            </w:r>
          </w:p>
        </w:tc>
        <w:tc>
          <w:tcPr>
            <w:tcW w:w="2803" w:type="dxa"/>
            <w:shd w:val="clear" w:color="auto" w:fill="auto"/>
            <w:vAlign w:val="center"/>
          </w:tcPr>
          <w:p w14:paraId="28A03024" w14:textId="77777777" w:rsidR="004D1455" w:rsidRDefault="004D1455" w:rsidP="00F91A85">
            <w:pPr>
              <w:rPr>
                <w:lang w:eastAsia="en-AU"/>
              </w:rPr>
            </w:pPr>
            <w:r w:rsidRPr="759DB011">
              <w:rPr>
                <w:lang w:eastAsia="en-AU"/>
              </w:rPr>
              <w:t>56 per cent</w:t>
            </w:r>
          </w:p>
        </w:tc>
        <w:tc>
          <w:tcPr>
            <w:tcW w:w="2693" w:type="dxa"/>
            <w:shd w:val="clear" w:color="auto" w:fill="auto"/>
            <w:vAlign w:val="center"/>
          </w:tcPr>
          <w:p w14:paraId="24638F1D" w14:textId="77777777" w:rsidR="004D1455" w:rsidRDefault="004D1455" w:rsidP="00F91A85">
            <w:pPr>
              <w:rPr>
                <w:lang w:eastAsia="en-AU"/>
              </w:rPr>
            </w:pPr>
            <w:r w:rsidRPr="759DB011">
              <w:rPr>
                <w:lang w:eastAsia="en-AU"/>
              </w:rPr>
              <w:t>46 per cent</w:t>
            </w:r>
          </w:p>
        </w:tc>
      </w:tr>
      <w:tr w:rsidR="004D1455" w14:paraId="434016D8" w14:textId="77777777" w:rsidTr="00214A66">
        <w:trPr>
          <w:trHeight w:val="300"/>
        </w:trPr>
        <w:tc>
          <w:tcPr>
            <w:tcW w:w="1020" w:type="dxa"/>
            <w:shd w:val="clear" w:color="auto" w:fill="auto"/>
            <w:vAlign w:val="center"/>
          </w:tcPr>
          <w:p w14:paraId="3CCECBCD" w14:textId="77777777" w:rsidR="004D1455" w:rsidRDefault="004D1455" w:rsidP="00F91A85">
            <w:pPr>
              <w:rPr>
                <w:lang w:eastAsia="en-AU"/>
              </w:rPr>
            </w:pPr>
            <w:r w:rsidRPr="759DB011">
              <w:rPr>
                <w:lang w:eastAsia="en-AU"/>
              </w:rPr>
              <w:t>2020</w:t>
            </w:r>
          </w:p>
        </w:tc>
        <w:tc>
          <w:tcPr>
            <w:tcW w:w="2803" w:type="dxa"/>
            <w:shd w:val="clear" w:color="auto" w:fill="auto"/>
            <w:vAlign w:val="center"/>
          </w:tcPr>
          <w:p w14:paraId="646D401D" w14:textId="77777777" w:rsidR="004D1455" w:rsidRDefault="004D1455" w:rsidP="00F91A85">
            <w:pPr>
              <w:rPr>
                <w:lang w:eastAsia="en-AU"/>
              </w:rPr>
            </w:pPr>
            <w:r w:rsidRPr="759DB011">
              <w:rPr>
                <w:lang w:eastAsia="en-AU"/>
              </w:rPr>
              <w:t>58 per cent</w:t>
            </w:r>
          </w:p>
        </w:tc>
        <w:tc>
          <w:tcPr>
            <w:tcW w:w="2693" w:type="dxa"/>
            <w:shd w:val="clear" w:color="auto" w:fill="auto"/>
            <w:vAlign w:val="center"/>
          </w:tcPr>
          <w:p w14:paraId="4E418960" w14:textId="77777777" w:rsidR="004D1455" w:rsidRDefault="004D1455" w:rsidP="00F91A85">
            <w:pPr>
              <w:rPr>
                <w:lang w:eastAsia="en-AU"/>
              </w:rPr>
            </w:pPr>
            <w:r w:rsidRPr="759DB011">
              <w:rPr>
                <w:lang w:eastAsia="en-AU"/>
              </w:rPr>
              <w:t>45 per cent</w:t>
            </w:r>
          </w:p>
        </w:tc>
      </w:tr>
      <w:tr w:rsidR="004D1455" w14:paraId="4FD39428" w14:textId="77777777" w:rsidTr="00214A66">
        <w:trPr>
          <w:trHeight w:val="300"/>
        </w:trPr>
        <w:tc>
          <w:tcPr>
            <w:tcW w:w="1020" w:type="dxa"/>
            <w:shd w:val="clear" w:color="auto" w:fill="auto"/>
            <w:vAlign w:val="center"/>
          </w:tcPr>
          <w:p w14:paraId="0CB936B0" w14:textId="77777777" w:rsidR="004D1455" w:rsidRDefault="004D1455" w:rsidP="00F91A85">
            <w:pPr>
              <w:rPr>
                <w:lang w:eastAsia="en-AU"/>
              </w:rPr>
            </w:pPr>
            <w:r w:rsidRPr="759DB011">
              <w:rPr>
                <w:lang w:eastAsia="en-AU"/>
              </w:rPr>
              <w:t>2021</w:t>
            </w:r>
          </w:p>
        </w:tc>
        <w:tc>
          <w:tcPr>
            <w:tcW w:w="2803" w:type="dxa"/>
            <w:shd w:val="clear" w:color="auto" w:fill="auto"/>
            <w:vAlign w:val="center"/>
          </w:tcPr>
          <w:p w14:paraId="3873A5BA" w14:textId="77777777" w:rsidR="004D1455" w:rsidRDefault="004D1455" w:rsidP="00F91A85">
            <w:pPr>
              <w:rPr>
                <w:lang w:eastAsia="en-AU"/>
              </w:rPr>
            </w:pPr>
            <w:r w:rsidRPr="759DB011">
              <w:rPr>
                <w:lang w:eastAsia="en-AU"/>
              </w:rPr>
              <w:t>45 per cent</w:t>
            </w:r>
          </w:p>
        </w:tc>
        <w:tc>
          <w:tcPr>
            <w:tcW w:w="2693" w:type="dxa"/>
            <w:shd w:val="clear" w:color="auto" w:fill="auto"/>
            <w:vAlign w:val="center"/>
          </w:tcPr>
          <w:p w14:paraId="47A9955B" w14:textId="77777777" w:rsidR="004D1455" w:rsidRDefault="004D1455" w:rsidP="00F91A85">
            <w:pPr>
              <w:rPr>
                <w:lang w:eastAsia="en-AU"/>
              </w:rPr>
            </w:pPr>
            <w:r w:rsidRPr="759DB011">
              <w:rPr>
                <w:lang w:eastAsia="en-AU"/>
              </w:rPr>
              <w:t>44 per cent</w:t>
            </w:r>
          </w:p>
        </w:tc>
      </w:tr>
      <w:tr w:rsidR="004D1455" w14:paraId="52B27A7F" w14:textId="77777777" w:rsidTr="00214A66">
        <w:trPr>
          <w:trHeight w:val="300"/>
        </w:trPr>
        <w:tc>
          <w:tcPr>
            <w:tcW w:w="1020" w:type="dxa"/>
            <w:shd w:val="clear" w:color="auto" w:fill="auto"/>
            <w:vAlign w:val="center"/>
          </w:tcPr>
          <w:p w14:paraId="02E7A30B" w14:textId="77777777" w:rsidR="004D1455" w:rsidRDefault="004D1455" w:rsidP="00F91A85">
            <w:pPr>
              <w:rPr>
                <w:lang w:eastAsia="en-AU"/>
              </w:rPr>
            </w:pPr>
            <w:r w:rsidRPr="759DB011">
              <w:rPr>
                <w:lang w:eastAsia="en-AU"/>
              </w:rPr>
              <w:t>2022</w:t>
            </w:r>
          </w:p>
        </w:tc>
        <w:tc>
          <w:tcPr>
            <w:tcW w:w="2803" w:type="dxa"/>
            <w:shd w:val="clear" w:color="auto" w:fill="auto"/>
            <w:vAlign w:val="center"/>
          </w:tcPr>
          <w:p w14:paraId="0B668EAD" w14:textId="77777777" w:rsidR="004D1455" w:rsidRDefault="004D1455" w:rsidP="00F91A85">
            <w:pPr>
              <w:rPr>
                <w:lang w:eastAsia="en-AU"/>
              </w:rPr>
            </w:pPr>
            <w:r w:rsidRPr="759DB011">
              <w:rPr>
                <w:lang w:eastAsia="en-AU"/>
              </w:rPr>
              <w:t>46 per cent</w:t>
            </w:r>
          </w:p>
        </w:tc>
        <w:tc>
          <w:tcPr>
            <w:tcW w:w="2693" w:type="dxa"/>
            <w:shd w:val="clear" w:color="auto" w:fill="auto"/>
            <w:vAlign w:val="center"/>
          </w:tcPr>
          <w:p w14:paraId="787C46BB" w14:textId="77777777" w:rsidR="004D1455" w:rsidRDefault="004D1455" w:rsidP="00F91A85">
            <w:pPr>
              <w:rPr>
                <w:lang w:eastAsia="en-AU"/>
              </w:rPr>
            </w:pPr>
            <w:r w:rsidRPr="759DB011">
              <w:rPr>
                <w:lang w:eastAsia="en-AU"/>
              </w:rPr>
              <w:t>43 per cent</w:t>
            </w:r>
          </w:p>
        </w:tc>
      </w:tr>
      <w:tr w:rsidR="004D1455" w14:paraId="368E9E0C" w14:textId="77777777" w:rsidTr="00214A66">
        <w:trPr>
          <w:trHeight w:val="300"/>
        </w:trPr>
        <w:tc>
          <w:tcPr>
            <w:tcW w:w="1020" w:type="dxa"/>
            <w:shd w:val="clear" w:color="auto" w:fill="auto"/>
            <w:vAlign w:val="center"/>
          </w:tcPr>
          <w:p w14:paraId="24122D89" w14:textId="77777777" w:rsidR="004D1455" w:rsidRDefault="004D1455" w:rsidP="00F91A85">
            <w:pPr>
              <w:rPr>
                <w:lang w:eastAsia="en-AU"/>
              </w:rPr>
            </w:pPr>
            <w:r w:rsidRPr="759DB011">
              <w:rPr>
                <w:lang w:eastAsia="en-AU"/>
              </w:rPr>
              <w:t>2023</w:t>
            </w:r>
          </w:p>
        </w:tc>
        <w:tc>
          <w:tcPr>
            <w:tcW w:w="2803" w:type="dxa"/>
            <w:shd w:val="clear" w:color="auto" w:fill="auto"/>
            <w:vAlign w:val="center"/>
          </w:tcPr>
          <w:p w14:paraId="68699A9D" w14:textId="77777777" w:rsidR="004D1455" w:rsidRDefault="004D1455" w:rsidP="00F91A85">
            <w:pPr>
              <w:rPr>
                <w:lang w:eastAsia="en-AU"/>
              </w:rPr>
            </w:pPr>
            <w:r w:rsidRPr="759DB011">
              <w:rPr>
                <w:lang w:eastAsia="en-AU"/>
              </w:rPr>
              <w:t>43 per cent</w:t>
            </w:r>
          </w:p>
        </w:tc>
        <w:tc>
          <w:tcPr>
            <w:tcW w:w="2693" w:type="dxa"/>
            <w:shd w:val="clear" w:color="auto" w:fill="auto"/>
            <w:vAlign w:val="center"/>
          </w:tcPr>
          <w:p w14:paraId="365D5B91" w14:textId="77777777" w:rsidR="004D1455" w:rsidRDefault="004D1455" w:rsidP="00F91A85">
            <w:pPr>
              <w:rPr>
                <w:lang w:eastAsia="en-AU"/>
              </w:rPr>
            </w:pPr>
            <w:r w:rsidRPr="759DB011">
              <w:rPr>
                <w:lang w:eastAsia="en-AU"/>
              </w:rPr>
              <w:t>41 per cent</w:t>
            </w:r>
          </w:p>
        </w:tc>
      </w:tr>
      <w:tr w:rsidR="004D1455" w14:paraId="3D347F87" w14:textId="77777777" w:rsidTr="00214A66">
        <w:trPr>
          <w:trHeight w:val="300"/>
        </w:trPr>
        <w:tc>
          <w:tcPr>
            <w:tcW w:w="1020" w:type="dxa"/>
            <w:shd w:val="clear" w:color="auto" w:fill="auto"/>
            <w:vAlign w:val="center"/>
          </w:tcPr>
          <w:p w14:paraId="1851FA12" w14:textId="77777777" w:rsidR="004D1455" w:rsidRDefault="004D1455" w:rsidP="00F91A85">
            <w:pPr>
              <w:rPr>
                <w:lang w:eastAsia="en-AU"/>
              </w:rPr>
            </w:pPr>
            <w:r w:rsidRPr="759DB011">
              <w:rPr>
                <w:lang w:eastAsia="en-AU"/>
              </w:rPr>
              <w:t>2024</w:t>
            </w:r>
          </w:p>
        </w:tc>
        <w:tc>
          <w:tcPr>
            <w:tcW w:w="2803" w:type="dxa"/>
            <w:shd w:val="clear" w:color="auto" w:fill="auto"/>
            <w:vAlign w:val="center"/>
          </w:tcPr>
          <w:p w14:paraId="1BF33180" w14:textId="77777777" w:rsidR="004D1455" w:rsidRDefault="004D1455" w:rsidP="00F91A85">
            <w:pPr>
              <w:rPr>
                <w:lang w:eastAsia="en-AU"/>
              </w:rPr>
            </w:pPr>
            <w:r w:rsidRPr="759DB011">
              <w:rPr>
                <w:lang w:eastAsia="en-AU"/>
              </w:rPr>
              <w:t>27 per cent</w:t>
            </w:r>
          </w:p>
        </w:tc>
        <w:tc>
          <w:tcPr>
            <w:tcW w:w="2693" w:type="dxa"/>
            <w:shd w:val="clear" w:color="auto" w:fill="auto"/>
            <w:vAlign w:val="center"/>
          </w:tcPr>
          <w:p w14:paraId="5BBEAE60" w14:textId="77777777" w:rsidR="004D1455" w:rsidRDefault="004D1455" w:rsidP="00F91A85">
            <w:pPr>
              <w:rPr>
                <w:lang w:eastAsia="en-AU"/>
              </w:rPr>
            </w:pPr>
            <w:r w:rsidRPr="759DB011">
              <w:rPr>
                <w:lang w:eastAsia="en-AU"/>
              </w:rPr>
              <w:t>40 per cent</w:t>
            </w:r>
          </w:p>
        </w:tc>
      </w:tr>
    </w:tbl>
    <w:p w14:paraId="03184E93" w14:textId="08552764" w:rsidR="00776E2B" w:rsidRDefault="00776E2B" w:rsidP="001653ED">
      <w:pPr>
        <w:pStyle w:val="Caption"/>
        <w:spacing w:before="360"/>
      </w:pPr>
      <w:bookmarkStart w:id="61" w:name="_Ref184195978"/>
      <w:r w:rsidRPr="00776E2B">
        <w:rPr>
          <w:b/>
          <w:bCs/>
        </w:rPr>
        <w:lastRenderedPageBreak/>
        <w:t xml:space="preserve">Table </w:t>
      </w:r>
      <w:r w:rsidRPr="00776E2B">
        <w:rPr>
          <w:b/>
          <w:bCs/>
        </w:rPr>
        <w:fldChar w:fldCharType="begin"/>
      </w:r>
      <w:r w:rsidRPr="00776E2B">
        <w:rPr>
          <w:b/>
          <w:bCs/>
        </w:rPr>
        <w:instrText xml:space="preserve"> SEQ Table \* ARABIC </w:instrText>
      </w:r>
      <w:r w:rsidRPr="00776E2B">
        <w:rPr>
          <w:b/>
          <w:bCs/>
        </w:rPr>
        <w:fldChar w:fldCharType="separate"/>
      </w:r>
      <w:r w:rsidR="00DC68AF">
        <w:rPr>
          <w:b/>
          <w:bCs/>
          <w:noProof/>
        </w:rPr>
        <w:t>20</w:t>
      </w:r>
      <w:r w:rsidRPr="00776E2B">
        <w:rPr>
          <w:b/>
          <w:bCs/>
        </w:rPr>
        <w:fldChar w:fldCharType="end"/>
      </w:r>
      <w:bookmarkEnd w:id="59"/>
      <w:bookmarkEnd w:id="61"/>
      <w:r>
        <w:t xml:space="preserve"> </w:t>
      </w:r>
      <w:r w:rsidRPr="002D66E4">
        <w:t xml:space="preserve">Do you expect your organisation will make a loss (deficit), break even or a profit (surplus) on its disability services in this current financial year (year ending 30 June 2025)? Statement </w:t>
      </w:r>
      <w:r w:rsidRPr="002D66E4">
        <w:rPr>
          <w:rFonts w:hint="eastAsia"/>
        </w:rPr>
        <w:t>–</w:t>
      </w:r>
      <w:r w:rsidRPr="002D66E4">
        <w:t xml:space="preserve"> </w:t>
      </w:r>
      <w:r w:rsidR="00CC1235">
        <w:t>B</w:t>
      </w:r>
      <w:r w:rsidR="00CC1235" w:rsidRPr="002D66E4">
        <w:t>reak</w:t>
      </w:r>
      <w:r w:rsidRPr="002D66E4">
        <w:t>-even or be close to break-even</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Do you expect your organisation will make a loss (deficit), break even or a profit (surplus) on its disability services in this current financial year (year ending 30 June 2025)? Statement – Break-even or be close to break-even"/>
        <w:tblDescription w:val="A table showing the percentage of organisations expecting to make a loss in the current financial year (30 June 2025). Disability services only. Trend data from 2015 to 2024."/>
      </w:tblPr>
      <w:tblGrid>
        <w:gridCol w:w="1020"/>
        <w:gridCol w:w="3086"/>
        <w:gridCol w:w="2410"/>
      </w:tblGrid>
      <w:tr w:rsidR="00E613D7" w:rsidRPr="00214A66" w14:paraId="67D52875" w14:textId="77777777" w:rsidTr="00214A66">
        <w:trPr>
          <w:trHeight w:val="806"/>
          <w:tblHeader/>
        </w:trPr>
        <w:tc>
          <w:tcPr>
            <w:tcW w:w="1020" w:type="dxa"/>
            <w:shd w:val="clear" w:color="auto" w:fill="D9D9D9" w:themeFill="background1" w:themeFillShade="D9"/>
            <w:noWrap/>
            <w:vAlign w:val="center"/>
            <w:hideMark/>
          </w:tcPr>
          <w:p w14:paraId="3D89D7E9" w14:textId="77777777" w:rsidR="00E613D7" w:rsidRPr="00214A66" w:rsidRDefault="00E613D7" w:rsidP="00214A66">
            <w:pPr>
              <w:rPr>
                <w:b/>
                <w:bCs/>
                <w:lang w:eastAsia="en-AU"/>
              </w:rPr>
            </w:pPr>
            <w:bookmarkStart w:id="62" w:name="Title_Table_20"/>
            <w:bookmarkStart w:id="63" w:name="_Ref183879296"/>
            <w:bookmarkEnd w:id="62"/>
            <w:r w:rsidRPr="00214A66">
              <w:rPr>
                <w:b/>
                <w:bCs/>
                <w:lang w:eastAsia="en-AU"/>
              </w:rPr>
              <w:t>Year</w:t>
            </w:r>
          </w:p>
        </w:tc>
        <w:tc>
          <w:tcPr>
            <w:tcW w:w="3086" w:type="dxa"/>
            <w:shd w:val="clear" w:color="auto" w:fill="D9D9D9" w:themeFill="background1" w:themeFillShade="D9"/>
            <w:vAlign w:val="center"/>
            <w:hideMark/>
          </w:tcPr>
          <w:p w14:paraId="6C2CEDB8" w14:textId="77777777" w:rsidR="00E613D7" w:rsidRPr="00214A66" w:rsidRDefault="00E613D7" w:rsidP="00214A66">
            <w:pPr>
              <w:rPr>
                <w:b/>
                <w:bCs/>
                <w:color w:val="000000"/>
                <w:lang w:eastAsia="en-AU"/>
              </w:rPr>
            </w:pPr>
            <w:r w:rsidRPr="00214A66">
              <w:rPr>
                <w:b/>
                <w:bCs/>
                <w:color w:val="000000"/>
                <w:lang w:eastAsia="en-AU"/>
              </w:rPr>
              <w:t>Break-even or be close to break-even</w:t>
            </w:r>
          </w:p>
        </w:tc>
        <w:tc>
          <w:tcPr>
            <w:tcW w:w="2410" w:type="dxa"/>
            <w:shd w:val="clear" w:color="auto" w:fill="D9D9D9" w:themeFill="background1" w:themeFillShade="D9"/>
            <w:vAlign w:val="center"/>
            <w:hideMark/>
          </w:tcPr>
          <w:p w14:paraId="12A89126" w14:textId="77777777" w:rsidR="00E613D7" w:rsidRPr="00214A66" w:rsidRDefault="00E613D7" w:rsidP="00214A66">
            <w:pPr>
              <w:rPr>
                <w:b/>
                <w:bCs/>
                <w:color w:val="000000"/>
                <w:lang w:eastAsia="en-AU"/>
              </w:rPr>
            </w:pPr>
            <w:r w:rsidRPr="00214A66">
              <w:rPr>
                <w:b/>
                <w:bCs/>
                <w:color w:val="000000"/>
                <w:lang w:eastAsia="en-AU"/>
              </w:rPr>
              <w:t>Break-even trend</w:t>
            </w:r>
          </w:p>
        </w:tc>
      </w:tr>
      <w:tr w:rsidR="00E613D7" w:rsidRPr="004721DB" w14:paraId="769F1892" w14:textId="77777777" w:rsidTr="00214A66">
        <w:trPr>
          <w:trHeight w:val="254"/>
        </w:trPr>
        <w:tc>
          <w:tcPr>
            <w:tcW w:w="1020" w:type="dxa"/>
            <w:shd w:val="clear" w:color="auto" w:fill="auto"/>
            <w:noWrap/>
            <w:vAlign w:val="center"/>
            <w:hideMark/>
          </w:tcPr>
          <w:p w14:paraId="777DFF8B" w14:textId="77777777" w:rsidR="00E613D7" w:rsidRPr="004721DB" w:rsidRDefault="00E613D7" w:rsidP="00F91A85">
            <w:pPr>
              <w:rPr>
                <w:lang w:eastAsia="en-AU"/>
              </w:rPr>
            </w:pPr>
            <w:r w:rsidRPr="004721DB">
              <w:rPr>
                <w:lang w:eastAsia="en-AU"/>
              </w:rPr>
              <w:t>2015</w:t>
            </w:r>
          </w:p>
        </w:tc>
        <w:tc>
          <w:tcPr>
            <w:tcW w:w="3086" w:type="dxa"/>
            <w:shd w:val="clear" w:color="auto" w:fill="auto"/>
            <w:noWrap/>
            <w:vAlign w:val="center"/>
            <w:hideMark/>
          </w:tcPr>
          <w:p w14:paraId="37C17F0B" w14:textId="77777777" w:rsidR="00E613D7" w:rsidRPr="004721DB" w:rsidRDefault="00E613D7" w:rsidP="00F91A85">
            <w:pPr>
              <w:rPr>
                <w:lang w:eastAsia="en-AU"/>
              </w:rPr>
            </w:pPr>
            <w:r w:rsidRPr="004721DB">
              <w:rPr>
                <w:lang w:eastAsia="en-AU"/>
              </w:rPr>
              <w:t>20</w:t>
            </w:r>
            <w:r>
              <w:rPr>
                <w:lang w:eastAsia="en-AU"/>
              </w:rPr>
              <w:t xml:space="preserve"> per cent</w:t>
            </w:r>
          </w:p>
        </w:tc>
        <w:tc>
          <w:tcPr>
            <w:tcW w:w="2410" w:type="dxa"/>
            <w:shd w:val="clear" w:color="auto" w:fill="auto"/>
            <w:noWrap/>
            <w:vAlign w:val="center"/>
            <w:hideMark/>
          </w:tcPr>
          <w:p w14:paraId="1533931A" w14:textId="77777777" w:rsidR="00E613D7" w:rsidRPr="004721DB" w:rsidRDefault="00E613D7" w:rsidP="00F91A85">
            <w:pPr>
              <w:rPr>
                <w:lang w:eastAsia="en-AU"/>
              </w:rPr>
            </w:pPr>
            <w:r w:rsidRPr="004721DB">
              <w:rPr>
                <w:lang w:eastAsia="en-AU"/>
              </w:rPr>
              <w:t>27</w:t>
            </w:r>
            <w:r>
              <w:rPr>
                <w:lang w:eastAsia="en-AU"/>
              </w:rPr>
              <w:t xml:space="preserve"> per cent</w:t>
            </w:r>
          </w:p>
        </w:tc>
      </w:tr>
      <w:tr w:rsidR="00E613D7" w:rsidRPr="004721DB" w14:paraId="779664A8" w14:textId="77777777" w:rsidTr="00214A66">
        <w:trPr>
          <w:trHeight w:val="254"/>
        </w:trPr>
        <w:tc>
          <w:tcPr>
            <w:tcW w:w="1020" w:type="dxa"/>
            <w:shd w:val="clear" w:color="auto" w:fill="auto"/>
            <w:noWrap/>
            <w:vAlign w:val="center"/>
            <w:hideMark/>
          </w:tcPr>
          <w:p w14:paraId="507E87DB" w14:textId="77777777" w:rsidR="00E613D7" w:rsidRPr="004721DB" w:rsidRDefault="00E613D7" w:rsidP="00F91A85">
            <w:pPr>
              <w:rPr>
                <w:lang w:eastAsia="en-AU"/>
              </w:rPr>
            </w:pPr>
            <w:r w:rsidRPr="004721DB">
              <w:rPr>
                <w:lang w:eastAsia="en-AU"/>
              </w:rPr>
              <w:t>2016</w:t>
            </w:r>
          </w:p>
        </w:tc>
        <w:tc>
          <w:tcPr>
            <w:tcW w:w="3086" w:type="dxa"/>
            <w:shd w:val="clear" w:color="auto" w:fill="auto"/>
            <w:noWrap/>
            <w:vAlign w:val="center"/>
            <w:hideMark/>
          </w:tcPr>
          <w:p w14:paraId="212ECF47" w14:textId="77777777" w:rsidR="00E613D7" w:rsidRPr="004721DB" w:rsidRDefault="00E613D7" w:rsidP="00F91A85">
            <w:pPr>
              <w:rPr>
                <w:lang w:eastAsia="en-AU"/>
              </w:rPr>
            </w:pPr>
            <w:r w:rsidRPr="004721DB">
              <w:rPr>
                <w:lang w:eastAsia="en-AU"/>
              </w:rPr>
              <w:t>35</w:t>
            </w:r>
            <w:r>
              <w:rPr>
                <w:lang w:eastAsia="en-AU"/>
              </w:rPr>
              <w:t xml:space="preserve"> per cent</w:t>
            </w:r>
          </w:p>
        </w:tc>
        <w:tc>
          <w:tcPr>
            <w:tcW w:w="2410" w:type="dxa"/>
            <w:shd w:val="clear" w:color="auto" w:fill="auto"/>
            <w:noWrap/>
            <w:vAlign w:val="center"/>
            <w:hideMark/>
          </w:tcPr>
          <w:p w14:paraId="1BD28DCB" w14:textId="77777777" w:rsidR="00E613D7" w:rsidRPr="004721DB" w:rsidRDefault="00E613D7" w:rsidP="00F91A85">
            <w:pPr>
              <w:rPr>
                <w:lang w:eastAsia="en-AU"/>
              </w:rPr>
            </w:pPr>
            <w:r w:rsidRPr="004721DB">
              <w:rPr>
                <w:lang w:eastAsia="en-AU"/>
              </w:rPr>
              <w:t>27</w:t>
            </w:r>
            <w:r>
              <w:rPr>
                <w:lang w:eastAsia="en-AU"/>
              </w:rPr>
              <w:t xml:space="preserve"> per cent</w:t>
            </w:r>
          </w:p>
        </w:tc>
      </w:tr>
      <w:tr w:rsidR="00E613D7" w:rsidRPr="004721DB" w14:paraId="077CEB7D" w14:textId="77777777" w:rsidTr="00214A66">
        <w:trPr>
          <w:trHeight w:val="254"/>
        </w:trPr>
        <w:tc>
          <w:tcPr>
            <w:tcW w:w="1020" w:type="dxa"/>
            <w:shd w:val="clear" w:color="auto" w:fill="auto"/>
            <w:noWrap/>
            <w:vAlign w:val="center"/>
            <w:hideMark/>
          </w:tcPr>
          <w:p w14:paraId="5FA07EE9" w14:textId="77777777" w:rsidR="00E613D7" w:rsidRPr="004721DB" w:rsidRDefault="00E613D7" w:rsidP="00F91A85">
            <w:pPr>
              <w:rPr>
                <w:lang w:eastAsia="en-AU"/>
              </w:rPr>
            </w:pPr>
            <w:r w:rsidRPr="004721DB">
              <w:rPr>
                <w:lang w:eastAsia="en-AU"/>
              </w:rPr>
              <w:t>2017</w:t>
            </w:r>
          </w:p>
        </w:tc>
        <w:tc>
          <w:tcPr>
            <w:tcW w:w="3086" w:type="dxa"/>
            <w:shd w:val="clear" w:color="auto" w:fill="auto"/>
            <w:noWrap/>
            <w:vAlign w:val="center"/>
            <w:hideMark/>
          </w:tcPr>
          <w:p w14:paraId="2B31907B" w14:textId="77777777" w:rsidR="00E613D7" w:rsidRPr="004721DB" w:rsidRDefault="00E613D7" w:rsidP="00F91A85">
            <w:pPr>
              <w:rPr>
                <w:lang w:eastAsia="en-AU"/>
              </w:rPr>
            </w:pPr>
            <w:r w:rsidRPr="004721DB">
              <w:rPr>
                <w:lang w:eastAsia="en-AU"/>
              </w:rPr>
              <w:t>29</w:t>
            </w:r>
            <w:r>
              <w:rPr>
                <w:lang w:eastAsia="en-AU"/>
              </w:rPr>
              <w:t xml:space="preserve"> per cent</w:t>
            </w:r>
          </w:p>
        </w:tc>
        <w:tc>
          <w:tcPr>
            <w:tcW w:w="2410" w:type="dxa"/>
            <w:shd w:val="clear" w:color="auto" w:fill="auto"/>
            <w:noWrap/>
            <w:vAlign w:val="center"/>
            <w:hideMark/>
          </w:tcPr>
          <w:p w14:paraId="27807E60" w14:textId="77777777" w:rsidR="00E613D7" w:rsidRPr="004721DB" w:rsidRDefault="00E613D7" w:rsidP="00F91A85">
            <w:pPr>
              <w:rPr>
                <w:lang w:eastAsia="en-AU"/>
              </w:rPr>
            </w:pPr>
            <w:r w:rsidRPr="004721DB">
              <w:rPr>
                <w:lang w:eastAsia="en-AU"/>
              </w:rPr>
              <w:t>26</w:t>
            </w:r>
            <w:r>
              <w:rPr>
                <w:lang w:eastAsia="en-AU"/>
              </w:rPr>
              <w:t xml:space="preserve"> per cent</w:t>
            </w:r>
          </w:p>
        </w:tc>
      </w:tr>
      <w:tr w:rsidR="00E613D7" w:rsidRPr="004721DB" w14:paraId="5D165AB6" w14:textId="77777777" w:rsidTr="00214A66">
        <w:trPr>
          <w:trHeight w:val="254"/>
        </w:trPr>
        <w:tc>
          <w:tcPr>
            <w:tcW w:w="1020" w:type="dxa"/>
            <w:shd w:val="clear" w:color="auto" w:fill="auto"/>
            <w:noWrap/>
            <w:vAlign w:val="center"/>
            <w:hideMark/>
          </w:tcPr>
          <w:p w14:paraId="5E62E03E" w14:textId="77777777" w:rsidR="00E613D7" w:rsidRPr="004721DB" w:rsidRDefault="00E613D7" w:rsidP="00F91A85">
            <w:pPr>
              <w:rPr>
                <w:lang w:eastAsia="en-AU"/>
              </w:rPr>
            </w:pPr>
            <w:r w:rsidRPr="004721DB">
              <w:rPr>
                <w:lang w:eastAsia="en-AU"/>
              </w:rPr>
              <w:t>2018</w:t>
            </w:r>
          </w:p>
        </w:tc>
        <w:tc>
          <w:tcPr>
            <w:tcW w:w="3086" w:type="dxa"/>
            <w:shd w:val="clear" w:color="auto" w:fill="auto"/>
            <w:noWrap/>
            <w:vAlign w:val="center"/>
            <w:hideMark/>
          </w:tcPr>
          <w:p w14:paraId="12418F74" w14:textId="77777777" w:rsidR="00E613D7" w:rsidRPr="004721DB" w:rsidRDefault="00E613D7" w:rsidP="00F91A85">
            <w:pPr>
              <w:rPr>
                <w:lang w:eastAsia="en-AU"/>
              </w:rPr>
            </w:pPr>
            <w:r w:rsidRPr="004721DB">
              <w:rPr>
                <w:lang w:eastAsia="en-AU"/>
              </w:rPr>
              <w:t>25</w:t>
            </w:r>
            <w:r>
              <w:rPr>
                <w:lang w:eastAsia="en-AU"/>
              </w:rPr>
              <w:t xml:space="preserve"> per cent</w:t>
            </w:r>
          </w:p>
        </w:tc>
        <w:tc>
          <w:tcPr>
            <w:tcW w:w="2410" w:type="dxa"/>
            <w:shd w:val="clear" w:color="auto" w:fill="auto"/>
            <w:noWrap/>
            <w:vAlign w:val="center"/>
            <w:hideMark/>
          </w:tcPr>
          <w:p w14:paraId="78292250" w14:textId="77777777" w:rsidR="00E613D7" w:rsidRPr="004721DB" w:rsidRDefault="00E613D7" w:rsidP="00F91A85">
            <w:pPr>
              <w:rPr>
                <w:lang w:eastAsia="en-AU"/>
              </w:rPr>
            </w:pPr>
            <w:r w:rsidRPr="004721DB">
              <w:rPr>
                <w:lang w:eastAsia="en-AU"/>
              </w:rPr>
              <w:t>26</w:t>
            </w:r>
            <w:r>
              <w:rPr>
                <w:lang w:eastAsia="en-AU"/>
              </w:rPr>
              <w:t xml:space="preserve"> per cent</w:t>
            </w:r>
          </w:p>
        </w:tc>
      </w:tr>
      <w:tr w:rsidR="00E613D7" w:rsidRPr="004721DB" w14:paraId="3B60EC64" w14:textId="77777777" w:rsidTr="00214A66">
        <w:trPr>
          <w:trHeight w:val="254"/>
        </w:trPr>
        <w:tc>
          <w:tcPr>
            <w:tcW w:w="1020" w:type="dxa"/>
            <w:shd w:val="clear" w:color="auto" w:fill="auto"/>
            <w:noWrap/>
            <w:vAlign w:val="center"/>
            <w:hideMark/>
          </w:tcPr>
          <w:p w14:paraId="3DA2D780" w14:textId="77777777" w:rsidR="00E613D7" w:rsidRPr="004721DB" w:rsidRDefault="00E613D7" w:rsidP="00F91A85">
            <w:pPr>
              <w:rPr>
                <w:lang w:eastAsia="en-AU"/>
              </w:rPr>
            </w:pPr>
            <w:r w:rsidRPr="004721DB">
              <w:rPr>
                <w:lang w:eastAsia="en-AU"/>
              </w:rPr>
              <w:t>2019</w:t>
            </w:r>
          </w:p>
        </w:tc>
        <w:tc>
          <w:tcPr>
            <w:tcW w:w="3086" w:type="dxa"/>
            <w:shd w:val="clear" w:color="auto" w:fill="auto"/>
            <w:noWrap/>
            <w:vAlign w:val="center"/>
            <w:hideMark/>
          </w:tcPr>
          <w:p w14:paraId="2B322C1B" w14:textId="77777777" w:rsidR="00E613D7" w:rsidRPr="004721DB" w:rsidRDefault="00E613D7" w:rsidP="00F91A85">
            <w:pPr>
              <w:rPr>
                <w:lang w:eastAsia="en-AU"/>
              </w:rPr>
            </w:pPr>
            <w:r w:rsidRPr="004721DB">
              <w:rPr>
                <w:lang w:eastAsia="en-AU"/>
              </w:rPr>
              <w:t>25</w:t>
            </w:r>
            <w:r>
              <w:rPr>
                <w:lang w:eastAsia="en-AU"/>
              </w:rPr>
              <w:t xml:space="preserve"> per cent</w:t>
            </w:r>
          </w:p>
        </w:tc>
        <w:tc>
          <w:tcPr>
            <w:tcW w:w="2410" w:type="dxa"/>
            <w:shd w:val="clear" w:color="auto" w:fill="auto"/>
            <w:noWrap/>
            <w:vAlign w:val="center"/>
            <w:hideMark/>
          </w:tcPr>
          <w:p w14:paraId="3ED2E326" w14:textId="77777777" w:rsidR="00E613D7" w:rsidRPr="004721DB" w:rsidRDefault="00E613D7" w:rsidP="00F91A85">
            <w:pPr>
              <w:rPr>
                <w:lang w:eastAsia="en-AU"/>
              </w:rPr>
            </w:pPr>
            <w:r w:rsidRPr="004721DB">
              <w:rPr>
                <w:lang w:eastAsia="en-AU"/>
              </w:rPr>
              <w:t>25</w:t>
            </w:r>
            <w:r>
              <w:rPr>
                <w:lang w:eastAsia="en-AU"/>
              </w:rPr>
              <w:t xml:space="preserve"> per cent</w:t>
            </w:r>
          </w:p>
        </w:tc>
      </w:tr>
      <w:tr w:rsidR="00E613D7" w:rsidRPr="004721DB" w14:paraId="111DFDD1" w14:textId="77777777" w:rsidTr="00214A66">
        <w:trPr>
          <w:trHeight w:val="254"/>
        </w:trPr>
        <w:tc>
          <w:tcPr>
            <w:tcW w:w="1020" w:type="dxa"/>
            <w:shd w:val="clear" w:color="auto" w:fill="auto"/>
            <w:noWrap/>
            <w:vAlign w:val="center"/>
            <w:hideMark/>
          </w:tcPr>
          <w:p w14:paraId="10598C07" w14:textId="77777777" w:rsidR="00E613D7" w:rsidRPr="004721DB" w:rsidRDefault="00E613D7" w:rsidP="00F91A85">
            <w:pPr>
              <w:rPr>
                <w:lang w:eastAsia="en-AU"/>
              </w:rPr>
            </w:pPr>
            <w:r w:rsidRPr="004721DB">
              <w:rPr>
                <w:lang w:eastAsia="en-AU"/>
              </w:rPr>
              <w:t>2020</w:t>
            </w:r>
          </w:p>
        </w:tc>
        <w:tc>
          <w:tcPr>
            <w:tcW w:w="3086" w:type="dxa"/>
            <w:shd w:val="clear" w:color="auto" w:fill="auto"/>
            <w:noWrap/>
            <w:vAlign w:val="center"/>
            <w:hideMark/>
          </w:tcPr>
          <w:p w14:paraId="565D97E6" w14:textId="77777777" w:rsidR="00E613D7" w:rsidRPr="004721DB" w:rsidRDefault="00E613D7" w:rsidP="00F91A85">
            <w:pPr>
              <w:rPr>
                <w:lang w:eastAsia="en-AU"/>
              </w:rPr>
            </w:pPr>
            <w:r w:rsidRPr="004721DB">
              <w:rPr>
                <w:lang w:eastAsia="en-AU"/>
              </w:rPr>
              <w:t>23</w:t>
            </w:r>
            <w:r>
              <w:rPr>
                <w:lang w:eastAsia="en-AU"/>
              </w:rPr>
              <w:t xml:space="preserve"> per cent</w:t>
            </w:r>
          </w:p>
        </w:tc>
        <w:tc>
          <w:tcPr>
            <w:tcW w:w="2410" w:type="dxa"/>
            <w:shd w:val="clear" w:color="auto" w:fill="auto"/>
            <w:noWrap/>
            <w:vAlign w:val="center"/>
            <w:hideMark/>
          </w:tcPr>
          <w:p w14:paraId="5F992499" w14:textId="77777777" w:rsidR="00E613D7" w:rsidRPr="004721DB" w:rsidRDefault="00E613D7" w:rsidP="00F91A85">
            <w:pPr>
              <w:rPr>
                <w:lang w:eastAsia="en-AU"/>
              </w:rPr>
            </w:pPr>
            <w:r w:rsidRPr="004721DB">
              <w:rPr>
                <w:lang w:eastAsia="en-AU"/>
              </w:rPr>
              <w:t>25</w:t>
            </w:r>
            <w:r>
              <w:rPr>
                <w:lang w:eastAsia="en-AU"/>
              </w:rPr>
              <w:t xml:space="preserve"> per cent</w:t>
            </w:r>
          </w:p>
        </w:tc>
      </w:tr>
      <w:tr w:rsidR="00E613D7" w:rsidRPr="004721DB" w14:paraId="42DF0C3D" w14:textId="77777777" w:rsidTr="00214A66">
        <w:trPr>
          <w:trHeight w:val="254"/>
        </w:trPr>
        <w:tc>
          <w:tcPr>
            <w:tcW w:w="1020" w:type="dxa"/>
            <w:shd w:val="clear" w:color="auto" w:fill="auto"/>
            <w:noWrap/>
            <w:vAlign w:val="center"/>
            <w:hideMark/>
          </w:tcPr>
          <w:p w14:paraId="469EF48C" w14:textId="77777777" w:rsidR="00E613D7" w:rsidRPr="004721DB" w:rsidRDefault="00E613D7" w:rsidP="00F91A85">
            <w:pPr>
              <w:rPr>
                <w:lang w:eastAsia="en-AU"/>
              </w:rPr>
            </w:pPr>
            <w:r w:rsidRPr="004721DB">
              <w:rPr>
                <w:lang w:eastAsia="en-AU"/>
              </w:rPr>
              <w:t>2021</w:t>
            </w:r>
          </w:p>
        </w:tc>
        <w:tc>
          <w:tcPr>
            <w:tcW w:w="3086" w:type="dxa"/>
            <w:shd w:val="clear" w:color="auto" w:fill="auto"/>
            <w:noWrap/>
            <w:vAlign w:val="center"/>
            <w:hideMark/>
          </w:tcPr>
          <w:p w14:paraId="5B186C7C" w14:textId="77777777" w:rsidR="00E613D7" w:rsidRPr="004721DB" w:rsidRDefault="00E613D7" w:rsidP="00F91A85">
            <w:pPr>
              <w:rPr>
                <w:lang w:eastAsia="en-AU"/>
              </w:rPr>
            </w:pPr>
            <w:r w:rsidRPr="004721DB">
              <w:rPr>
                <w:lang w:eastAsia="en-AU"/>
              </w:rPr>
              <w:t>26</w:t>
            </w:r>
            <w:r>
              <w:rPr>
                <w:lang w:eastAsia="en-AU"/>
              </w:rPr>
              <w:t xml:space="preserve"> per cent</w:t>
            </w:r>
          </w:p>
        </w:tc>
        <w:tc>
          <w:tcPr>
            <w:tcW w:w="2410" w:type="dxa"/>
            <w:shd w:val="clear" w:color="auto" w:fill="auto"/>
            <w:noWrap/>
            <w:vAlign w:val="center"/>
            <w:hideMark/>
          </w:tcPr>
          <w:p w14:paraId="5306B1C7" w14:textId="77777777" w:rsidR="00E613D7" w:rsidRPr="004721DB" w:rsidRDefault="00E613D7" w:rsidP="00F91A85">
            <w:pPr>
              <w:rPr>
                <w:lang w:eastAsia="en-AU"/>
              </w:rPr>
            </w:pPr>
            <w:r w:rsidRPr="004721DB">
              <w:rPr>
                <w:lang w:eastAsia="en-AU"/>
              </w:rPr>
              <w:t>24</w:t>
            </w:r>
            <w:r>
              <w:rPr>
                <w:lang w:eastAsia="en-AU"/>
              </w:rPr>
              <w:t xml:space="preserve"> per cent</w:t>
            </w:r>
          </w:p>
        </w:tc>
      </w:tr>
      <w:tr w:rsidR="00E613D7" w:rsidRPr="004721DB" w14:paraId="6E10FF8D" w14:textId="77777777" w:rsidTr="00214A66">
        <w:trPr>
          <w:trHeight w:val="254"/>
        </w:trPr>
        <w:tc>
          <w:tcPr>
            <w:tcW w:w="1020" w:type="dxa"/>
            <w:shd w:val="clear" w:color="auto" w:fill="auto"/>
            <w:noWrap/>
            <w:vAlign w:val="center"/>
            <w:hideMark/>
          </w:tcPr>
          <w:p w14:paraId="01E55E0D" w14:textId="77777777" w:rsidR="00E613D7" w:rsidRPr="004721DB" w:rsidRDefault="00E613D7" w:rsidP="00F91A85">
            <w:pPr>
              <w:rPr>
                <w:lang w:eastAsia="en-AU"/>
              </w:rPr>
            </w:pPr>
            <w:r w:rsidRPr="004721DB">
              <w:rPr>
                <w:lang w:eastAsia="en-AU"/>
              </w:rPr>
              <w:t>2022</w:t>
            </w:r>
          </w:p>
        </w:tc>
        <w:tc>
          <w:tcPr>
            <w:tcW w:w="3086" w:type="dxa"/>
            <w:shd w:val="clear" w:color="auto" w:fill="auto"/>
            <w:noWrap/>
            <w:vAlign w:val="center"/>
            <w:hideMark/>
          </w:tcPr>
          <w:p w14:paraId="5755BCB0" w14:textId="77777777" w:rsidR="00E613D7" w:rsidRPr="004721DB" w:rsidRDefault="00E613D7" w:rsidP="00F91A85">
            <w:pPr>
              <w:rPr>
                <w:lang w:eastAsia="en-AU"/>
              </w:rPr>
            </w:pPr>
            <w:r w:rsidRPr="004721DB">
              <w:rPr>
                <w:lang w:eastAsia="en-AU"/>
              </w:rPr>
              <w:t>16</w:t>
            </w:r>
            <w:r>
              <w:rPr>
                <w:lang w:eastAsia="en-AU"/>
              </w:rPr>
              <w:t xml:space="preserve"> per cent</w:t>
            </w:r>
          </w:p>
        </w:tc>
        <w:tc>
          <w:tcPr>
            <w:tcW w:w="2410" w:type="dxa"/>
            <w:shd w:val="clear" w:color="auto" w:fill="auto"/>
            <w:noWrap/>
            <w:vAlign w:val="center"/>
            <w:hideMark/>
          </w:tcPr>
          <w:p w14:paraId="0F348CFA" w14:textId="77777777" w:rsidR="00E613D7" w:rsidRPr="004721DB" w:rsidRDefault="00E613D7" w:rsidP="00F91A85">
            <w:pPr>
              <w:rPr>
                <w:lang w:eastAsia="en-AU"/>
              </w:rPr>
            </w:pPr>
            <w:r w:rsidRPr="004721DB">
              <w:rPr>
                <w:lang w:eastAsia="en-AU"/>
              </w:rPr>
              <w:t>24</w:t>
            </w:r>
            <w:r>
              <w:rPr>
                <w:lang w:eastAsia="en-AU"/>
              </w:rPr>
              <w:t xml:space="preserve"> per cent</w:t>
            </w:r>
          </w:p>
        </w:tc>
      </w:tr>
      <w:tr w:rsidR="00E613D7" w:rsidRPr="004721DB" w14:paraId="10B74F8A" w14:textId="77777777" w:rsidTr="00214A66">
        <w:trPr>
          <w:trHeight w:val="254"/>
        </w:trPr>
        <w:tc>
          <w:tcPr>
            <w:tcW w:w="1020" w:type="dxa"/>
            <w:shd w:val="clear" w:color="auto" w:fill="auto"/>
            <w:noWrap/>
            <w:vAlign w:val="center"/>
            <w:hideMark/>
          </w:tcPr>
          <w:p w14:paraId="1D28AEEC" w14:textId="77777777" w:rsidR="00E613D7" w:rsidRPr="004721DB" w:rsidRDefault="00E613D7" w:rsidP="00F91A85">
            <w:pPr>
              <w:rPr>
                <w:lang w:eastAsia="en-AU"/>
              </w:rPr>
            </w:pPr>
            <w:r w:rsidRPr="004721DB">
              <w:rPr>
                <w:lang w:eastAsia="en-AU"/>
              </w:rPr>
              <w:t>2023</w:t>
            </w:r>
          </w:p>
        </w:tc>
        <w:tc>
          <w:tcPr>
            <w:tcW w:w="3086" w:type="dxa"/>
            <w:shd w:val="clear" w:color="auto" w:fill="auto"/>
            <w:noWrap/>
            <w:vAlign w:val="center"/>
            <w:hideMark/>
          </w:tcPr>
          <w:p w14:paraId="3CCB6063" w14:textId="77777777" w:rsidR="00E613D7" w:rsidRPr="004721DB" w:rsidRDefault="00E613D7" w:rsidP="00F91A85">
            <w:pPr>
              <w:rPr>
                <w:lang w:eastAsia="en-AU"/>
              </w:rPr>
            </w:pPr>
            <w:r w:rsidRPr="004721DB">
              <w:rPr>
                <w:lang w:eastAsia="en-AU"/>
              </w:rPr>
              <w:t>27</w:t>
            </w:r>
            <w:r>
              <w:rPr>
                <w:lang w:eastAsia="en-AU"/>
              </w:rPr>
              <w:t xml:space="preserve"> per cent</w:t>
            </w:r>
          </w:p>
        </w:tc>
        <w:tc>
          <w:tcPr>
            <w:tcW w:w="2410" w:type="dxa"/>
            <w:shd w:val="clear" w:color="auto" w:fill="auto"/>
            <w:noWrap/>
            <w:vAlign w:val="center"/>
            <w:hideMark/>
          </w:tcPr>
          <w:p w14:paraId="613D88D5" w14:textId="77777777" w:rsidR="00E613D7" w:rsidRPr="004721DB" w:rsidRDefault="00E613D7" w:rsidP="00F91A85">
            <w:pPr>
              <w:rPr>
                <w:lang w:eastAsia="en-AU"/>
              </w:rPr>
            </w:pPr>
            <w:r w:rsidRPr="004721DB">
              <w:rPr>
                <w:lang w:eastAsia="en-AU"/>
              </w:rPr>
              <w:t>24</w:t>
            </w:r>
            <w:r>
              <w:rPr>
                <w:lang w:eastAsia="en-AU"/>
              </w:rPr>
              <w:t xml:space="preserve"> per cent</w:t>
            </w:r>
          </w:p>
        </w:tc>
      </w:tr>
      <w:tr w:rsidR="00E613D7" w:rsidRPr="004721DB" w14:paraId="57D3106A" w14:textId="77777777" w:rsidTr="00214A66">
        <w:trPr>
          <w:trHeight w:val="254"/>
        </w:trPr>
        <w:tc>
          <w:tcPr>
            <w:tcW w:w="1020" w:type="dxa"/>
            <w:shd w:val="clear" w:color="auto" w:fill="auto"/>
            <w:noWrap/>
            <w:vAlign w:val="center"/>
            <w:hideMark/>
          </w:tcPr>
          <w:p w14:paraId="637313C8" w14:textId="77777777" w:rsidR="00E613D7" w:rsidRPr="004721DB" w:rsidRDefault="00E613D7" w:rsidP="00F91A85">
            <w:pPr>
              <w:rPr>
                <w:lang w:eastAsia="en-AU"/>
              </w:rPr>
            </w:pPr>
            <w:r w:rsidRPr="004721DB">
              <w:rPr>
                <w:lang w:eastAsia="en-AU"/>
              </w:rPr>
              <w:t>2024</w:t>
            </w:r>
          </w:p>
        </w:tc>
        <w:tc>
          <w:tcPr>
            <w:tcW w:w="3086" w:type="dxa"/>
            <w:shd w:val="clear" w:color="auto" w:fill="auto"/>
            <w:noWrap/>
            <w:vAlign w:val="center"/>
            <w:hideMark/>
          </w:tcPr>
          <w:p w14:paraId="50CAD7C4" w14:textId="77777777" w:rsidR="00E613D7" w:rsidRPr="004721DB" w:rsidRDefault="00E613D7" w:rsidP="00F91A85">
            <w:pPr>
              <w:rPr>
                <w:lang w:eastAsia="en-AU"/>
              </w:rPr>
            </w:pPr>
            <w:r w:rsidRPr="004721DB">
              <w:rPr>
                <w:lang w:eastAsia="en-AU"/>
              </w:rPr>
              <w:t>25</w:t>
            </w:r>
            <w:r>
              <w:rPr>
                <w:lang w:eastAsia="en-AU"/>
              </w:rPr>
              <w:t xml:space="preserve"> per cent</w:t>
            </w:r>
          </w:p>
        </w:tc>
        <w:tc>
          <w:tcPr>
            <w:tcW w:w="2410" w:type="dxa"/>
            <w:shd w:val="clear" w:color="auto" w:fill="auto"/>
            <w:noWrap/>
            <w:vAlign w:val="center"/>
            <w:hideMark/>
          </w:tcPr>
          <w:p w14:paraId="10C45A90" w14:textId="77777777" w:rsidR="00E613D7" w:rsidRPr="004721DB" w:rsidRDefault="00E613D7" w:rsidP="00F91A85">
            <w:pPr>
              <w:rPr>
                <w:lang w:eastAsia="en-AU"/>
              </w:rPr>
            </w:pPr>
            <w:r w:rsidRPr="004721DB">
              <w:rPr>
                <w:lang w:eastAsia="en-AU"/>
              </w:rPr>
              <w:t>23</w:t>
            </w:r>
            <w:r>
              <w:rPr>
                <w:lang w:eastAsia="en-AU"/>
              </w:rPr>
              <w:t xml:space="preserve"> per cent</w:t>
            </w:r>
          </w:p>
        </w:tc>
      </w:tr>
    </w:tbl>
    <w:p w14:paraId="5F0FEB7E" w14:textId="282513B1" w:rsidR="00776E2B" w:rsidRDefault="00776E2B" w:rsidP="001653ED">
      <w:pPr>
        <w:pStyle w:val="Caption"/>
        <w:spacing w:before="360"/>
      </w:pPr>
      <w:bookmarkStart w:id="64" w:name="_Ref184196016"/>
      <w:r w:rsidRPr="00776E2B">
        <w:rPr>
          <w:b/>
          <w:bCs/>
        </w:rPr>
        <w:t xml:space="preserve">Table </w:t>
      </w:r>
      <w:r w:rsidRPr="00776E2B">
        <w:rPr>
          <w:b/>
          <w:bCs/>
        </w:rPr>
        <w:fldChar w:fldCharType="begin"/>
      </w:r>
      <w:r w:rsidRPr="00776E2B">
        <w:rPr>
          <w:b/>
          <w:bCs/>
        </w:rPr>
        <w:instrText xml:space="preserve"> SEQ Table \* ARABIC </w:instrText>
      </w:r>
      <w:r w:rsidRPr="00776E2B">
        <w:rPr>
          <w:b/>
          <w:bCs/>
        </w:rPr>
        <w:fldChar w:fldCharType="separate"/>
      </w:r>
      <w:r w:rsidR="00DC68AF">
        <w:rPr>
          <w:b/>
          <w:bCs/>
          <w:noProof/>
        </w:rPr>
        <w:t>21</w:t>
      </w:r>
      <w:r w:rsidRPr="00776E2B">
        <w:rPr>
          <w:b/>
          <w:bCs/>
        </w:rPr>
        <w:fldChar w:fldCharType="end"/>
      </w:r>
      <w:bookmarkEnd w:id="63"/>
      <w:bookmarkEnd w:id="64"/>
      <w:r>
        <w:t xml:space="preserve"> </w:t>
      </w:r>
      <w:r w:rsidRPr="00414D5D">
        <w:t xml:space="preserve">Do you expect your organisation will make a loss (deficit), break even or a profit (surplus) on its disability services in this current financial year (year ending 30 June 2025)? Statement </w:t>
      </w:r>
      <w:r w:rsidRPr="00414D5D">
        <w:rPr>
          <w:rFonts w:hint="eastAsia"/>
        </w:rPr>
        <w:t>–</w:t>
      </w:r>
      <w:r w:rsidRPr="00414D5D">
        <w:t xml:space="preserve"> Don't know</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1 Do you expect your organisation will make a loss (deficit), break even or a profit (surplus) on its disability services in this current financial year (year ending 30 June 2025)? Statement – Don't know"/>
        <w:tblDescription w:val="A table showing the percentage of organisations who don’t know whether they expect to make a loss, break even or profit in the current financial year (30 June 2025). Disability services only. Trend data from 2015 to 2024."/>
      </w:tblPr>
      <w:tblGrid>
        <w:gridCol w:w="1020"/>
        <w:gridCol w:w="1957"/>
        <w:gridCol w:w="2263"/>
      </w:tblGrid>
      <w:tr w:rsidR="00D13E6D" w:rsidRPr="00F91A85" w14:paraId="2FF5E7EF" w14:textId="77777777" w:rsidTr="00F91A85">
        <w:trPr>
          <w:trHeight w:val="760"/>
          <w:tblHeader/>
        </w:trPr>
        <w:tc>
          <w:tcPr>
            <w:tcW w:w="1020" w:type="dxa"/>
            <w:shd w:val="clear" w:color="auto" w:fill="D9D9D9" w:themeFill="background1" w:themeFillShade="D9"/>
            <w:noWrap/>
            <w:vAlign w:val="center"/>
            <w:hideMark/>
          </w:tcPr>
          <w:p w14:paraId="5D19A83E" w14:textId="77777777" w:rsidR="00D13E6D" w:rsidRPr="00F91A85" w:rsidRDefault="00D13E6D" w:rsidP="00F91A85">
            <w:pPr>
              <w:rPr>
                <w:b/>
                <w:bCs/>
                <w:lang w:eastAsia="en-AU"/>
              </w:rPr>
            </w:pPr>
            <w:bookmarkStart w:id="65" w:name="Title_Table_21"/>
            <w:bookmarkEnd w:id="65"/>
            <w:r w:rsidRPr="00F91A85">
              <w:rPr>
                <w:b/>
                <w:bCs/>
                <w:lang w:eastAsia="en-AU"/>
              </w:rPr>
              <w:t>Year</w:t>
            </w:r>
          </w:p>
        </w:tc>
        <w:tc>
          <w:tcPr>
            <w:tcW w:w="1957" w:type="dxa"/>
            <w:shd w:val="clear" w:color="auto" w:fill="D9D9D9" w:themeFill="background1" w:themeFillShade="D9"/>
            <w:vAlign w:val="center"/>
            <w:hideMark/>
          </w:tcPr>
          <w:p w14:paraId="3C583C19" w14:textId="77777777" w:rsidR="00D13E6D" w:rsidRPr="00F91A85" w:rsidRDefault="00D13E6D" w:rsidP="00F91A85">
            <w:pPr>
              <w:rPr>
                <w:b/>
                <w:bCs/>
                <w:color w:val="000000"/>
                <w:lang w:eastAsia="en-AU"/>
              </w:rPr>
            </w:pPr>
            <w:r w:rsidRPr="00F91A85">
              <w:rPr>
                <w:b/>
                <w:bCs/>
                <w:color w:val="000000"/>
                <w:lang w:eastAsia="en-AU"/>
              </w:rPr>
              <w:t>Don't know</w:t>
            </w:r>
          </w:p>
        </w:tc>
        <w:tc>
          <w:tcPr>
            <w:tcW w:w="2263" w:type="dxa"/>
            <w:shd w:val="clear" w:color="auto" w:fill="D9D9D9" w:themeFill="background1" w:themeFillShade="D9"/>
            <w:vAlign w:val="center"/>
            <w:hideMark/>
          </w:tcPr>
          <w:p w14:paraId="2006624D" w14:textId="77777777" w:rsidR="00D13E6D" w:rsidRPr="00F91A85" w:rsidRDefault="00D13E6D" w:rsidP="00F91A85">
            <w:pPr>
              <w:rPr>
                <w:b/>
                <w:bCs/>
                <w:color w:val="000000"/>
                <w:lang w:eastAsia="en-AU"/>
              </w:rPr>
            </w:pPr>
            <w:r w:rsidRPr="00F91A85">
              <w:rPr>
                <w:b/>
                <w:bCs/>
                <w:color w:val="000000"/>
                <w:lang w:eastAsia="en-AU"/>
              </w:rPr>
              <w:t>Don't know trend</w:t>
            </w:r>
          </w:p>
        </w:tc>
      </w:tr>
      <w:tr w:rsidR="00D13E6D" w:rsidRPr="00C818F5" w14:paraId="53D18DC3" w14:textId="77777777" w:rsidTr="00F91A85">
        <w:trPr>
          <w:trHeight w:val="254"/>
        </w:trPr>
        <w:tc>
          <w:tcPr>
            <w:tcW w:w="1020" w:type="dxa"/>
            <w:shd w:val="clear" w:color="auto" w:fill="auto"/>
            <w:noWrap/>
            <w:vAlign w:val="center"/>
            <w:hideMark/>
          </w:tcPr>
          <w:p w14:paraId="07CF8C00" w14:textId="77777777" w:rsidR="00D13E6D" w:rsidRPr="00C818F5" w:rsidRDefault="00D13E6D" w:rsidP="00F91A85">
            <w:pPr>
              <w:rPr>
                <w:lang w:eastAsia="en-AU"/>
              </w:rPr>
            </w:pPr>
            <w:r w:rsidRPr="00C818F5">
              <w:rPr>
                <w:lang w:eastAsia="en-AU"/>
              </w:rPr>
              <w:t>2015</w:t>
            </w:r>
          </w:p>
        </w:tc>
        <w:tc>
          <w:tcPr>
            <w:tcW w:w="1957" w:type="dxa"/>
            <w:shd w:val="clear" w:color="auto" w:fill="auto"/>
            <w:noWrap/>
            <w:vAlign w:val="center"/>
            <w:hideMark/>
          </w:tcPr>
          <w:p w14:paraId="403A9D1D" w14:textId="77777777" w:rsidR="00D13E6D" w:rsidRPr="00C818F5" w:rsidRDefault="00D13E6D" w:rsidP="00F91A85">
            <w:pPr>
              <w:rPr>
                <w:lang w:eastAsia="en-AU"/>
              </w:rPr>
            </w:pPr>
            <w:r w:rsidRPr="00C818F5">
              <w:rPr>
                <w:lang w:eastAsia="en-AU"/>
              </w:rPr>
              <w:t>4</w:t>
            </w:r>
            <w:r>
              <w:rPr>
                <w:lang w:eastAsia="en-AU"/>
              </w:rPr>
              <w:t xml:space="preserve"> per cent</w:t>
            </w:r>
          </w:p>
        </w:tc>
        <w:tc>
          <w:tcPr>
            <w:tcW w:w="2263" w:type="dxa"/>
            <w:shd w:val="clear" w:color="auto" w:fill="auto"/>
            <w:noWrap/>
            <w:vAlign w:val="center"/>
            <w:hideMark/>
          </w:tcPr>
          <w:p w14:paraId="23AA3575" w14:textId="77777777" w:rsidR="00D13E6D" w:rsidRPr="00C818F5" w:rsidRDefault="00D13E6D" w:rsidP="00F91A85">
            <w:pPr>
              <w:rPr>
                <w:lang w:eastAsia="en-AU"/>
              </w:rPr>
            </w:pPr>
            <w:r w:rsidRPr="00C818F5">
              <w:rPr>
                <w:lang w:eastAsia="en-AU"/>
              </w:rPr>
              <w:t>6</w:t>
            </w:r>
            <w:r>
              <w:rPr>
                <w:lang w:eastAsia="en-AU"/>
              </w:rPr>
              <w:t xml:space="preserve"> per cent</w:t>
            </w:r>
          </w:p>
        </w:tc>
      </w:tr>
      <w:tr w:rsidR="00D13E6D" w:rsidRPr="00C818F5" w14:paraId="4940C745" w14:textId="77777777" w:rsidTr="00F91A85">
        <w:trPr>
          <w:trHeight w:val="254"/>
        </w:trPr>
        <w:tc>
          <w:tcPr>
            <w:tcW w:w="1020" w:type="dxa"/>
            <w:shd w:val="clear" w:color="auto" w:fill="auto"/>
            <w:noWrap/>
            <w:vAlign w:val="center"/>
            <w:hideMark/>
          </w:tcPr>
          <w:p w14:paraId="29385DE3" w14:textId="77777777" w:rsidR="00D13E6D" w:rsidRPr="00C818F5" w:rsidRDefault="00D13E6D" w:rsidP="00F91A85">
            <w:pPr>
              <w:rPr>
                <w:lang w:eastAsia="en-AU"/>
              </w:rPr>
            </w:pPr>
            <w:r w:rsidRPr="00C818F5">
              <w:rPr>
                <w:lang w:eastAsia="en-AU"/>
              </w:rPr>
              <w:t>2016</w:t>
            </w:r>
          </w:p>
        </w:tc>
        <w:tc>
          <w:tcPr>
            <w:tcW w:w="1957" w:type="dxa"/>
            <w:shd w:val="clear" w:color="auto" w:fill="auto"/>
            <w:noWrap/>
            <w:vAlign w:val="center"/>
            <w:hideMark/>
          </w:tcPr>
          <w:p w14:paraId="7276A474" w14:textId="77777777" w:rsidR="00D13E6D" w:rsidRPr="00C818F5" w:rsidRDefault="00D13E6D" w:rsidP="00F91A85">
            <w:pPr>
              <w:rPr>
                <w:lang w:eastAsia="en-AU"/>
              </w:rPr>
            </w:pPr>
            <w:r w:rsidRPr="00C818F5">
              <w:rPr>
                <w:lang w:eastAsia="en-AU"/>
              </w:rPr>
              <w:t>7</w:t>
            </w:r>
            <w:r>
              <w:rPr>
                <w:lang w:eastAsia="en-AU"/>
              </w:rPr>
              <w:t xml:space="preserve"> per cent</w:t>
            </w:r>
          </w:p>
        </w:tc>
        <w:tc>
          <w:tcPr>
            <w:tcW w:w="2263" w:type="dxa"/>
            <w:shd w:val="clear" w:color="auto" w:fill="auto"/>
            <w:noWrap/>
            <w:vAlign w:val="center"/>
            <w:hideMark/>
          </w:tcPr>
          <w:p w14:paraId="4C8FF1EC" w14:textId="77777777" w:rsidR="00D13E6D" w:rsidRPr="00C818F5" w:rsidRDefault="00D13E6D" w:rsidP="00F91A85">
            <w:pPr>
              <w:rPr>
                <w:lang w:eastAsia="en-AU"/>
              </w:rPr>
            </w:pPr>
            <w:r w:rsidRPr="00C818F5">
              <w:rPr>
                <w:lang w:eastAsia="en-AU"/>
              </w:rPr>
              <w:t>6</w:t>
            </w:r>
            <w:r>
              <w:rPr>
                <w:lang w:eastAsia="en-AU"/>
              </w:rPr>
              <w:t xml:space="preserve"> per cent</w:t>
            </w:r>
          </w:p>
        </w:tc>
      </w:tr>
      <w:tr w:rsidR="00D13E6D" w:rsidRPr="00C818F5" w14:paraId="0FCA38FF" w14:textId="77777777" w:rsidTr="00F91A85">
        <w:trPr>
          <w:trHeight w:val="254"/>
        </w:trPr>
        <w:tc>
          <w:tcPr>
            <w:tcW w:w="1020" w:type="dxa"/>
            <w:shd w:val="clear" w:color="auto" w:fill="auto"/>
            <w:noWrap/>
            <w:vAlign w:val="center"/>
            <w:hideMark/>
          </w:tcPr>
          <w:p w14:paraId="5529886B" w14:textId="77777777" w:rsidR="00D13E6D" w:rsidRPr="00C818F5" w:rsidRDefault="00D13E6D" w:rsidP="00F91A85">
            <w:pPr>
              <w:rPr>
                <w:lang w:eastAsia="en-AU"/>
              </w:rPr>
            </w:pPr>
            <w:r w:rsidRPr="00C818F5">
              <w:rPr>
                <w:lang w:eastAsia="en-AU"/>
              </w:rPr>
              <w:t>2017</w:t>
            </w:r>
          </w:p>
        </w:tc>
        <w:tc>
          <w:tcPr>
            <w:tcW w:w="1957" w:type="dxa"/>
            <w:shd w:val="clear" w:color="auto" w:fill="auto"/>
            <w:noWrap/>
            <w:vAlign w:val="center"/>
            <w:hideMark/>
          </w:tcPr>
          <w:p w14:paraId="35634F5B" w14:textId="77777777" w:rsidR="00D13E6D" w:rsidRPr="00C818F5" w:rsidRDefault="00D13E6D" w:rsidP="00F91A85">
            <w:pPr>
              <w:rPr>
                <w:lang w:eastAsia="en-AU"/>
              </w:rPr>
            </w:pPr>
            <w:r w:rsidRPr="00C818F5">
              <w:rPr>
                <w:lang w:eastAsia="en-AU"/>
              </w:rPr>
              <w:t>4</w:t>
            </w:r>
            <w:r>
              <w:rPr>
                <w:lang w:eastAsia="en-AU"/>
              </w:rPr>
              <w:t xml:space="preserve"> per cent</w:t>
            </w:r>
          </w:p>
        </w:tc>
        <w:tc>
          <w:tcPr>
            <w:tcW w:w="2263" w:type="dxa"/>
            <w:shd w:val="clear" w:color="auto" w:fill="auto"/>
            <w:noWrap/>
            <w:vAlign w:val="center"/>
            <w:hideMark/>
          </w:tcPr>
          <w:p w14:paraId="3DE831C5" w14:textId="77777777" w:rsidR="00D13E6D" w:rsidRPr="00C818F5" w:rsidRDefault="00D13E6D" w:rsidP="00F91A85">
            <w:pPr>
              <w:rPr>
                <w:lang w:eastAsia="en-AU"/>
              </w:rPr>
            </w:pPr>
            <w:r w:rsidRPr="00C818F5">
              <w:rPr>
                <w:lang w:eastAsia="en-AU"/>
              </w:rPr>
              <w:t>6</w:t>
            </w:r>
            <w:r>
              <w:rPr>
                <w:lang w:eastAsia="en-AU"/>
              </w:rPr>
              <w:t xml:space="preserve"> per cent</w:t>
            </w:r>
          </w:p>
        </w:tc>
      </w:tr>
      <w:tr w:rsidR="00D13E6D" w:rsidRPr="00C818F5" w14:paraId="36CDBD99" w14:textId="77777777" w:rsidTr="00F91A85">
        <w:trPr>
          <w:trHeight w:val="254"/>
        </w:trPr>
        <w:tc>
          <w:tcPr>
            <w:tcW w:w="1020" w:type="dxa"/>
            <w:shd w:val="clear" w:color="auto" w:fill="auto"/>
            <w:noWrap/>
            <w:vAlign w:val="center"/>
            <w:hideMark/>
          </w:tcPr>
          <w:p w14:paraId="5BF94DBA" w14:textId="77777777" w:rsidR="00D13E6D" w:rsidRPr="00C818F5" w:rsidRDefault="00D13E6D" w:rsidP="00F91A85">
            <w:pPr>
              <w:rPr>
                <w:lang w:eastAsia="en-AU"/>
              </w:rPr>
            </w:pPr>
            <w:r w:rsidRPr="00C818F5">
              <w:rPr>
                <w:lang w:eastAsia="en-AU"/>
              </w:rPr>
              <w:t>2018</w:t>
            </w:r>
          </w:p>
        </w:tc>
        <w:tc>
          <w:tcPr>
            <w:tcW w:w="1957" w:type="dxa"/>
            <w:shd w:val="clear" w:color="auto" w:fill="auto"/>
            <w:noWrap/>
            <w:vAlign w:val="center"/>
            <w:hideMark/>
          </w:tcPr>
          <w:p w14:paraId="0627B02A" w14:textId="77777777" w:rsidR="00D13E6D" w:rsidRPr="00C818F5" w:rsidRDefault="00D13E6D" w:rsidP="00F91A85">
            <w:pPr>
              <w:rPr>
                <w:lang w:eastAsia="en-AU"/>
              </w:rPr>
            </w:pPr>
            <w:r w:rsidRPr="00C818F5">
              <w:rPr>
                <w:lang w:eastAsia="en-AU"/>
              </w:rPr>
              <w:t>9</w:t>
            </w:r>
            <w:r>
              <w:rPr>
                <w:lang w:eastAsia="en-AU"/>
              </w:rPr>
              <w:t xml:space="preserve"> per cent</w:t>
            </w:r>
          </w:p>
        </w:tc>
        <w:tc>
          <w:tcPr>
            <w:tcW w:w="2263" w:type="dxa"/>
            <w:shd w:val="clear" w:color="auto" w:fill="auto"/>
            <w:noWrap/>
            <w:vAlign w:val="center"/>
            <w:hideMark/>
          </w:tcPr>
          <w:p w14:paraId="3B9DFBB2" w14:textId="77777777" w:rsidR="00D13E6D" w:rsidRPr="00C818F5" w:rsidRDefault="00D13E6D" w:rsidP="00F91A85">
            <w:pPr>
              <w:rPr>
                <w:lang w:eastAsia="en-AU"/>
              </w:rPr>
            </w:pPr>
            <w:r w:rsidRPr="00C818F5">
              <w:rPr>
                <w:lang w:eastAsia="en-AU"/>
              </w:rPr>
              <w:t>5</w:t>
            </w:r>
            <w:r>
              <w:rPr>
                <w:lang w:eastAsia="en-AU"/>
              </w:rPr>
              <w:t xml:space="preserve"> per cent</w:t>
            </w:r>
          </w:p>
        </w:tc>
      </w:tr>
      <w:tr w:rsidR="00D13E6D" w:rsidRPr="00C818F5" w14:paraId="76C73FDD" w14:textId="77777777" w:rsidTr="00F91A85">
        <w:trPr>
          <w:trHeight w:val="254"/>
        </w:trPr>
        <w:tc>
          <w:tcPr>
            <w:tcW w:w="1020" w:type="dxa"/>
            <w:shd w:val="clear" w:color="auto" w:fill="auto"/>
            <w:noWrap/>
            <w:vAlign w:val="center"/>
            <w:hideMark/>
          </w:tcPr>
          <w:p w14:paraId="0DEF5992" w14:textId="77777777" w:rsidR="00D13E6D" w:rsidRPr="00C818F5" w:rsidRDefault="00D13E6D" w:rsidP="00F91A85">
            <w:pPr>
              <w:rPr>
                <w:lang w:eastAsia="en-AU"/>
              </w:rPr>
            </w:pPr>
            <w:r w:rsidRPr="00C818F5">
              <w:rPr>
                <w:lang w:eastAsia="en-AU"/>
              </w:rPr>
              <w:t>2019</w:t>
            </w:r>
          </w:p>
        </w:tc>
        <w:tc>
          <w:tcPr>
            <w:tcW w:w="1957" w:type="dxa"/>
            <w:shd w:val="clear" w:color="auto" w:fill="auto"/>
            <w:noWrap/>
            <w:vAlign w:val="center"/>
            <w:hideMark/>
          </w:tcPr>
          <w:p w14:paraId="324BF85A" w14:textId="77777777" w:rsidR="00D13E6D" w:rsidRPr="00C818F5" w:rsidRDefault="00D13E6D" w:rsidP="00F91A85">
            <w:pPr>
              <w:rPr>
                <w:lang w:eastAsia="en-AU"/>
              </w:rPr>
            </w:pPr>
            <w:r w:rsidRPr="00C818F5">
              <w:rPr>
                <w:lang w:eastAsia="en-AU"/>
              </w:rPr>
              <w:t>6</w:t>
            </w:r>
            <w:r>
              <w:rPr>
                <w:lang w:eastAsia="en-AU"/>
              </w:rPr>
              <w:t xml:space="preserve"> per cent</w:t>
            </w:r>
          </w:p>
        </w:tc>
        <w:tc>
          <w:tcPr>
            <w:tcW w:w="2263" w:type="dxa"/>
            <w:shd w:val="clear" w:color="auto" w:fill="auto"/>
            <w:noWrap/>
            <w:vAlign w:val="center"/>
            <w:hideMark/>
          </w:tcPr>
          <w:p w14:paraId="27836505" w14:textId="77777777" w:rsidR="00D13E6D" w:rsidRPr="00C818F5" w:rsidRDefault="00D13E6D" w:rsidP="00F91A85">
            <w:pPr>
              <w:rPr>
                <w:lang w:eastAsia="en-AU"/>
              </w:rPr>
            </w:pPr>
            <w:r w:rsidRPr="00C818F5">
              <w:rPr>
                <w:lang w:eastAsia="en-AU"/>
              </w:rPr>
              <w:t>5</w:t>
            </w:r>
            <w:r>
              <w:rPr>
                <w:lang w:eastAsia="en-AU"/>
              </w:rPr>
              <w:t xml:space="preserve"> per cent</w:t>
            </w:r>
          </w:p>
        </w:tc>
      </w:tr>
      <w:tr w:rsidR="00D13E6D" w:rsidRPr="00C818F5" w14:paraId="53258880" w14:textId="77777777" w:rsidTr="00F91A85">
        <w:trPr>
          <w:trHeight w:val="254"/>
        </w:trPr>
        <w:tc>
          <w:tcPr>
            <w:tcW w:w="1020" w:type="dxa"/>
            <w:shd w:val="clear" w:color="auto" w:fill="auto"/>
            <w:noWrap/>
            <w:vAlign w:val="center"/>
            <w:hideMark/>
          </w:tcPr>
          <w:p w14:paraId="54E9F353" w14:textId="77777777" w:rsidR="00D13E6D" w:rsidRPr="00C818F5" w:rsidRDefault="00D13E6D" w:rsidP="00F91A85">
            <w:pPr>
              <w:rPr>
                <w:lang w:eastAsia="en-AU"/>
              </w:rPr>
            </w:pPr>
            <w:r w:rsidRPr="00C818F5">
              <w:rPr>
                <w:lang w:eastAsia="en-AU"/>
              </w:rPr>
              <w:t>2020</w:t>
            </w:r>
          </w:p>
        </w:tc>
        <w:tc>
          <w:tcPr>
            <w:tcW w:w="1957" w:type="dxa"/>
            <w:shd w:val="clear" w:color="auto" w:fill="auto"/>
            <w:noWrap/>
            <w:vAlign w:val="center"/>
            <w:hideMark/>
          </w:tcPr>
          <w:p w14:paraId="2E28A2AD" w14:textId="77777777" w:rsidR="00D13E6D" w:rsidRPr="00C818F5" w:rsidRDefault="00D13E6D" w:rsidP="00F91A85">
            <w:pPr>
              <w:rPr>
                <w:lang w:eastAsia="en-AU"/>
              </w:rPr>
            </w:pPr>
            <w:r w:rsidRPr="00C818F5">
              <w:rPr>
                <w:lang w:eastAsia="en-AU"/>
              </w:rPr>
              <w:t>4</w:t>
            </w:r>
            <w:r>
              <w:rPr>
                <w:lang w:eastAsia="en-AU"/>
              </w:rPr>
              <w:t xml:space="preserve"> per cent</w:t>
            </w:r>
          </w:p>
        </w:tc>
        <w:tc>
          <w:tcPr>
            <w:tcW w:w="2263" w:type="dxa"/>
            <w:shd w:val="clear" w:color="auto" w:fill="auto"/>
            <w:noWrap/>
            <w:vAlign w:val="center"/>
            <w:hideMark/>
          </w:tcPr>
          <w:p w14:paraId="67F5936C" w14:textId="77777777" w:rsidR="00D13E6D" w:rsidRPr="00C818F5" w:rsidRDefault="00D13E6D" w:rsidP="00F91A85">
            <w:pPr>
              <w:rPr>
                <w:lang w:eastAsia="en-AU"/>
              </w:rPr>
            </w:pPr>
            <w:r w:rsidRPr="00C818F5">
              <w:rPr>
                <w:lang w:eastAsia="en-AU"/>
              </w:rPr>
              <w:t>5</w:t>
            </w:r>
            <w:r>
              <w:rPr>
                <w:lang w:eastAsia="en-AU"/>
              </w:rPr>
              <w:t xml:space="preserve"> per cent</w:t>
            </w:r>
          </w:p>
        </w:tc>
      </w:tr>
      <w:tr w:rsidR="00D13E6D" w:rsidRPr="00C818F5" w14:paraId="56AEB580" w14:textId="77777777" w:rsidTr="00F91A85">
        <w:trPr>
          <w:trHeight w:val="254"/>
        </w:trPr>
        <w:tc>
          <w:tcPr>
            <w:tcW w:w="1020" w:type="dxa"/>
            <w:shd w:val="clear" w:color="auto" w:fill="auto"/>
            <w:noWrap/>
            <w:vAlign w:val="center"/>
            <w:hideMark/>
          </w:tcPr>
          <w:p w14:paraId="61F2706A" w14:textId="77777777" w:rsidR="00D13E6D" w:rsidRPr="00C818F5" w:rsidRDefault="00D13E6D" w:rsidP="00F91A85">
            <w:pPr>
              <w:rPr>
                <w:lang w:eastAsia="en-AU"/>
              </w:rPr>
            </w:pPr>
            <w:r w:rsidRPr="00C818F5">
              <w:rPr>
                <w:lang w:eastAsia="en-AU"/>
              </w:rPr>
              <w:lastRenderedPageBreak/>
              <w:t>2021</w:t>
            </w:r>
          </w:p>
        </w:tc>
        <w:tc>
          <w:tcPr>
            <w:tcW w:w="1957" w:type="dxa"/>
            <w:shd w:val="clear" w:color="auto" w:fill="auto"/>
            <w:noWrap/>
            <w:vAlign w:val="center"/>
            <w:hideMark/>
          </w:tcPr>
          <w:p w14:paraId="2CCF6B26" w14:textId="77777777" w:rsidR="00D13E6D" w:rsidRPr="00C818F5" w:rsidRDefault="00D13E6D" w:rsidP="00F91A85">
            <w:pPr>
              <w:rPr>
                <w:lang w:eastAsia="en-AU"/>
              </w:rPr>
            </w:pPr>
            <w:r w:rsidRPr="00C818F5">
              <w:rPr>
                <w:lang w:eastAsia="en-AU"/>
              </w:rPr>
              <w:t>6</w:t>
            </w:r>
            <w:r>
              <w:rPr>
                <w:lang w:eastAsia="en-AU"/>
              </w:rPr>
              <w:t xml:space="preserve"> per cent</w:t>
            </w:r>
          </w:p>
        </w:tc>
        <w:tc>
          <w:tcPr>
            <w:tcW w:w="2263" w:type="dxa"/>
            <w:shd w:val="clear" w:color="auto" w:fill="auto"/>
            <w:noWrap/>
            <w:vAlign w:val="center"/>
            <w:hideMark/>
          </w:tcPr>
          <w:p w14:paraId="2C4E6613" w14:textId="77777777" w:rsidR="00D13E6D" w:rsidRPr="00C818F5" w:rsidRDefault="00D13E6D" w:rsidP="00F91A85">
            <w:pPr>
              <w:rPr>
                <w:lang w:eastAsia="en-AU"/>
              </w:rPr>
            </w:pPr>
            <w:r w:rsidRPr="00C818F5">
              <w:rPr>
                <w:lang w:eastAsia="en-AU"/>
              </w:rPr>
              <w:t>5</w:t>
            </w:r>
            <w:r>
              <w:rPr>
                <w:lang w:eastAsia="en-AU"/>
              </w:rPr>
              <w:t xml:space="preserve"> per cent</w:t>
            </w:r>
          </w:p>
        </w:tc>
      </w:tr>
      <w:tr w:rsidR="00D13E6D" w:rsidRPr="00C818F5" w14:paraId="190DEA78" w14:textId="77777777" w:rsidTr="00F91A85">
        <w:trPr>
          <w:trHeight w:val="254"/>
        </w:trPr>
        <w:tc>
          <w:tcPr>
            <w:tcW w:w="1020" w:type="dxa"/>
            <w:shd w:val="clear" w:color="auto" w:fill="auto"/>
            <w:noWrap/>
            <w:vAlign w:val="center"/>
            <w:hideMark/>
          </w:tcPr>
          <w:p w14:paraId="0775DE19" w14:textId="77777777" w:rsidR="00D13E6D" w:rsidRPr="00C818F5" w:rsidRDefault="00D13E6D" w:rsidP="00F91A85">
            <w:pPr>
              <w:rPr>
                <w:lang w:eastAsia="en-AU"/>
              </w:rPr>
            </w:pPr>
            <w:r w:rsidRPr="00C818F5">
              <w:rPr>
                <w:lang w:eastAsia="en-AU"/>
              </w:rPr>
              <w:t>2022</w:t>
            </w:r>
          </w:p>
        </w:tc>
        <w:tc>
          <w:tcPr>
            <w:tcW w:w="1957" w:type="dxa"/>
            <w:shd w:val="clear" w:color="auto" w:fill="auto"/>
            <w:noWrap/>
            <w:vAlign w:val="center"/>
            <w:hideMark/>
          </w:tcPr>
          <w:p w14:paraId="4FD61C74" w14:textId="77777777" w:rsidR="00D13E6D" w:rsidRPr="00C818F5" w:rsidRDefault="00D13E6D" w:rsidP="00F91A85">
            <w:pPr>
              <w:rPr>
                <w:lang w:eastAsia="en-AU"/>
              </w:rPr>
            </w:pPr>
            <w:r w:rsidRPr="00C818F5">
              <w:rPr>
                <w:lang w:eastAsia="en-AU"/>
              </w:rPr>
              <w:t>1</w:t>
            </w:r>
            <w:r>
              <w:rPr>
                <w:lang w:eastAsia="en-AU"/>
              </w:rPr>
              <w:t xml:space="preserve"> per cent</w:t>
            </w:r>
          </w:p>
        </w:tc>
        <w:tc>
          <w:tcPr>
            <w:tcW w:w="2263" w:type="dxa"/>
            <w:shd w:val="clear" w:color="auto" w:fill="auto"/>
            <w:noWrap/>
            <w:vAlign w:val="center"/>
            <w:hideMark/>
          </w:tcPr>
          <w:p w14:paraId="640E70E5" w14:textId="77777777" w:rsidR="00D13E6D" w:rsidRPr="00C818F5" w:rsidRDefault="00D13E6D" w:rsidP="00F91A85">
            <w:pPr>
              <w:rPr>
                <w:lang w:eastAsia="en-AU"/>
              </w:rPr>
            </w:pPr>
            <w:r w:rsidRPr="00C818F5">
              <w:rPr>
                <w:lang w:eastAsia="en-AU"/>
              </w:rPr>
              <w:t>4</w:t>
            </w:r>
            <w:r>
              <w:rPr>
                <w:lang w:eastAsia="en-AU"/>
              </w:rPr>
              <w:t xml:space="preserve"> per cent</w:t>
            </w:r>
          </w:p>
        </w:tc>
      </w:tr>
      <w:tr w:rsidR="00D13E6D" w:rsidRPr="00C818F5" w14:paraId="2231A63F" w14:textId="77777777" w:rsidTr="00F91A85">
        <w:trPr>
          <w:trHeight w:val="254"/>
        </w:trPr>
        <w:tc>
          <w:tcPr>
            <w:tcW w:w="1020" w:type="dxa"/>
            <w:shd w:val="clear" w:color="auto" w:fill="auto"/>
            <w:noWrap/>
            <w:vAlign w:val="center"/>
            <w:hideMark/>
          </w:tcPr>
          <w:p w14:paraId="45E8B8F0" w14:textId="77777777" w:rsidR="00D13E6D" w:rsidRPr="00C818F5" w:rsidRDefault="00D13E6D" w:rsidP="00F91A85">
            <w:pPr>
              <w:rPr>
                <w:lang w:eastAsia="en-AU"/>
              </w:rPr>
            </w:pPr>
            <w:r w:rsidRPr="00C818F5">
              <w:rPr>
                <w:lang w:eastAsia="en-AU"/>
              </w:rPr>
              <w:t>2023</w:t>
            </w:r>
          </w:p>
        </w:tc>
        <w:tc>
          <w:tcPr>
            <w:tcW w:w="1957" w:type="dxa"/>
            <w:shd w:val="clear" w:color="auto" w:fill="auto"/>
            <w:noWrap/>
            <w:vAlign w:val="center"/>
            <w:hideMark/>
          </w:tcPr>
          <w:p w14:paraId="0C0BA3A3" w14:textId="77777777" w:rsidR="00D13E6D" w:rsidRPr="00C818F5" w:rsidRDefault="00D13E6D" w:rsidP="00F91A85">
            <w:pPr>
              <w:rPr>
                <w:lang w:eastAsia="en-AU"/>
              </w:rPr>
            </w:pPr>
            <w:r w:rsidRPr="00C818F5">
              <w:rPr>
                <w:lang w:eastAsia="en-AU"/>
              </w:rPr>
              <w:t>4</w:t>
            </w:r>
            <w:r>
              <w:rPr>
                <w:lang w:eastAsia="en-AU"/>
              </w:rPr>
              <w:t xml:space="preserve"> per cent</w:t>
            </w:r>
          </w:p>
        </w:tc>
        <w:tc>
          <w:tcPr>
            <w:tcW w:w="2263" w:type="dxa"/>
            <w:shd w:val="clear" w:color="auto" w:fill="auto"/>
            <w:noWrap/>
            <w:vAlign w:val="center"/>
            <w:hideMark/>
          </w:tcPr>
          <w:p w14:paraId="35914C87" w14:textId="77777777" w:rsidR="00D13E6D" w:rsidRPr="00C818F5" w:rsidRDefault="00D13E6D" w:rsidP="00F91A85">
            <w:pPr>
              <w:rPr>
                <w:lang w:eastAsia="en-AU"/>
              </w:rPr>
            </w:pPr>
            <w:r w:rsidRPr="00C818F5">
              <w:rPr>
                <w:lang w:eastAsia="en-AU"/>
              </w:rPr>
              <w:t>4</w:t>
            </w:r>
            <w:r>
              <w:rPr>
                <w:lang w:eastAsia="en-AU"/>
              </w:rPr>
              <w:t xml:space="preserve"> per cent</w:t>
            </w:r>
          </w:p>
        </w:tc>
      </w:tr>
      <w:tr w:rsidR="00D13E6D" w:rsidRPr="00C818F5" w14:paraId="19192ED0" w14:textId="77777777" w:rsidTr="00F91A85">
        <w:trPr>
          <w:trHeight w:val="254"/>
        </w:trPr>
        <w:tc>
          <w:tcPr>
            <w:tcW w:w="1020" w:type="dxa"/>
            <w:shd w:val="clear" w:color="auto" w:fill="auto"/>
            <w:noWrap/>
            <w:vAlign w:val="center"/>
            <w:hideMark/>
          </w:tcPr>
          <w:p w14:paraId="65C37223" w14:textId="77777777" w:rsidR="00D13E6D" w:rsidRPr="00C818F5" w:rsidRDefault="00D13E6D" w:rsidP="00F91A85">
            <w:pPr>
              <w:rPr>
                <w:lang w:eastAsia="en-AU"/>
              </w:rPr>
            </w:pPr>
            <w:r w:rsidRPr="00C818F5">
              <w:rPr>
                <w:lang w:eastAsia="en-AU"/>
              </w:rPr>
              <w:t>2024</w:t>
            </w:r>
          </w:p>
        </w:tc>
        <w:tc>
          <w:tcPr>
            <w:tcW w:w="1957" w:type="dxa"/>
            <w:shd w:val="clear" w:color="auto" w:fill="auto"/>
            <w:noWrap/>
            <w:vAlign w:val="center"/>
            <w:hideMark/>
          </w:tcPr>
          <w:p w14:paraId="15FE8BD9" w14:textId="77777777" w:rsidR="00D13E6D" w:rsidRPr="00C818F5" w:rsidRDefault="00D13E6D" w:rsidP="00F91A85">
            <w:pPr>
              <w:rPr>
                <w:lang w:eastAsia="en-AU"/>
              </w:rPr>
            </w:pPr>
            <w:r w:rsidRPr="00C818F5">
              <w:rPr>
                <w:lang w:eastAsia="en-AU"/>
              </w:rPr>
              <w:t>4</w:t>
            </w:r>
            <w:r>
              <w:rPr>
                <w:lang w:eastAsia="en-AU"/>
              </w:rPr>
              <w:t xml:space="preserve"> per cent</w:t>
            </w:r>
          </w:p>
        </w:tc>
        <w:tc>
          <w:tcPr>
            <w:tcW w:w="2263" w:type="dxa"/>
            <w:shd w:val="clear" w:color="auto" w:fill="auto"/>
            <w:noWrap/>
            <w:vAlign w:val="center"/>
            <w:hideMark/>
          </w:tcPr>
          <w:p w14:paraId="6147C338" w14:textId="77777777" w:rsidR="00D13E6D" w:rsidRPr="00C818F5" w:rsidRDefault="00D13E6D" w:rsidP="00F91A85">
            <w:pPr>
              <w:rPr>
                <w:lang w:eastAsia="en-AU"/>
              </w:rPr>
            </w:pPr>
            <w:r w:rsidRPr="00C818F5">
              <w:rPr>
                <w:lang w:eastAsia="en-AU"/>
              </w:rPr>
              <w:t>4</w:t>
            </w:r>
            <w:r>
              <w:rPr>
                <w:lang w:eastAsia="en-AU"/>
              </w:rPr>
              <w:t xml:space="preserve"> per cent</w:t>
            </w:r>
          </w:p>
        </w:tc>
      </w:tr>
    </w:tbl>
    <w:p w14:paraId="56C13178" w14:textId="63B71C93" w:rsidR="00776E2B" w:rsidRPr="00776E2B" w:rsidRDefault="00CC1235" w:rsidP="00F227AD">
      <w:pPr>
        <w:spacing w:before="360"/>
      </w:pPr>
      <w:r>
        <w:t>In narrative responses about organisation financial results, such as profit or loss or changes in net assets, respondents frequently raised concerns about their longer-term financial viability:</w:t>
      </w:r>
    </w:p>
    <w:p w14:paraId="0F8CDA77" w14:textId="754C43E1" w:rsidR="00B021DF" w:rsidRPr="002F3B5A" w:rsidRDefault="00B021DF" w:rsidP="00315F5D">
      <w:pPr>
        <w:pStyle w:val="Quote"/>
      </w:pPr>
      <w:r w:rsidRPr="002F3B5A">
        <w:t>“We are surviving thanks to the capital that is banked and invested. Have needed to dip into this to fund recurrent services ... is not sustainable.”</w:t>
      </w:r>
    </w:p>
    <w:p w14:paraId="69AE51B7" w14:textId="50294790" w:rsidR="004316F3" w:rsidRDefault="00B021DF" w:rsidP="00315F5D">
      <w:pPr>
        <w:pStyle w:val="QuoteAuthor"/>
      </w:pPr>
      <w:r w:rsidRPr="00620176">
        <w:t>WA large not-for-profit</w:t>
      </w:r>
    </w:p>
    <w:p w14:paraId="5D882C6B" w14:textId="506FBCE4" w:rsidR="00B021DF" w:rsidRPr="002F3B5A" w:rsidRDefault="00B021DF" w:rsidP="0081559B">
      <w:pPr>
        <w:pStyle w:val="Quote"/>
      </w:pPr>
      <w:r w:rsidRPr="002F3B5A">
        <w:t>“Cannot sustain loss for long and will be making social admissions to hospital of complex clients in regional communities soon.”</w:t>
      </w:r>
    </w:p>
    <w:p w14:paraId="7F724938" w14:textId="77777777" w:rsidR="004316F3" w:rsidRDefault="00B021DF" w:rsidP="0081559B">
      <w:pPr>
        <w:pStyle w:val="QuoteAuthor"/>
      </w:pPr>
      <w:r w:rsidRPr="00620176">
        <w:t>NSW large not-for-profit</w:t>
      </w:r>
    </w:p>
    <w:p w14:paraId="28323AEC" w14:textId="625C0680" w:rsidR="00B021DF" w:rsidRPr="002F3B5A" w:rsidRDefault="00B021DF" w:rsidP="0081559B">
      <w:pPr>
        <w:pStyle w:val="Quote"/>
      </w:pPr>
      <w:r w:rsidRPr="002F3B5A">
        <w:t>“Losses are not sustainable year on year. They run into the millions of dollars.”</w:t>
      </w:r>
    </w:p>
    <w:p w14:paraId="03D8AEC9" w14:textId="77777777" w:rsidR="004316F3" w:rsidRDefault="00B021DF" w:rsidP="0081559B">
      <w:pPr>
        <w:pStyle w:val="QuoteAuthor"/>
      </w:pPr>
      <w:r w:rsidRPr="6766CE18">
        <w:t>V</w:t>
      </w:r>
      <w:r w:rsidR="006F05AD" w:rsidRPr="6766CE18">
        <w:t>ic</w:t>
      </w:r>
      <w:r w:rsidRPr="00620176">
        <w:t xml:space="preserve"> large not-for-profit</w:t>
      </w:r>
    </w:p>
    <w:p w14:paraId="21B0817F" w14:textId="77777777" w:rsidR="004316F3" w:rsidRDefault="00B021DF" w:rsidP="0097062A">
      <w:r w:rsidRPr="00620176">
        <w:t>Respondents often reported their concerns about NDIS pricing and funding shortfalls:</w:t>
      </w:r>
    </w:p>
    <w:p w14:paraId="49D4C944" w14:textId="2AB5F624" w:rsidR="00B021DF" w:rsidRPr="002F3B5A" w:rsidRDefault="00B021DF" w:rsidP="0081559B">
      <w:pPr>
        <w:pStyle w:val="Quote"/>
      </w:pPr>
      <w:r w:rsidRPr="002F3B5A">
        <w:t>“If the price guide matched the SCHADS award and its increases more business</w:t>
      </w:r>
      <w:r w:rsidR="00296A9F">
        <w:t>es</w:t>
      </w:r>
      <w:r w:rsidRPr="002F3B5A">
        <w:t xml:space="preserve"> would be able to stay afloat.”</w:t>
      </w:r>
    </w:p>
    <w:p w14:paraId="2F02DC67" w14:textId="77777777" w:rsidR="004316F3" w:rsidRDefault="00B021DF" w:rsidP="0081559B">
      <w:pPr>
        <w:pStyle w:val="QuoteAuthor"/>
      </w:pPr>
      <w:r w:rsidRPr="00620176">
        <w:t>NSW very small for-profit</w:t>
      </w:r>
    </w:p>
    <w:p w14:paraId="52DD0FC5" w14:textId="0B64A461" w:rsidR="00B021DF" w:rsidRPr="002F3B5A" w:rsidRDefault="00B021DF" w:rsidP="0081559B">
      <w:pPr>
        <w:pStyle w:val="Quote"/>
      </w:pPr>
      <w:r w:rsidRPr="002F3B5A">
        <w:t>“We need to open up pricing and costing as soon as possible for providers to be able to take charge of what they charge for certain services.”</w:t>
      </w:r>
    </w:p>
    <w:p w14:paraId="51930E80" w14:textId="77777777" w:rsidR="004316F3" w:rsidRDefault="00B021DF" w:rsidP="0081559B">
      <w:pPr>
        <w:pStyle w:val="QuoteAuthor"/>
      </w:pPr>
      <w:r w:rsidRPr="00620176">
        <w:t>NSW large not-for-profit</w:t>
      </w:r>
    </w:p>
    <w:p w14:paraId="4FF366BD" w14:textId="1BCE39FB" w:rsidR="00B021DF" w:rsidRPr="002F3B5A" w:rsidRDefault="00B021DF" w:rsidP="0081559B">
      <w:pPr>
        <w:pStyle w:val="Quote"/>
      </w:pPr>
      <w:r w:rsidRPr="002F3B5A">
        <w:lastRenderedPageBreak/>
        <w:t>“The overheads are not enough in the NDIA funding model to meet our costs fully.”</w:t>
      </w:r>
    </w:p>
    <w:p w14:paraId="47FD92AA" w14:textId="77777777" w:rsidR="004316F3" w:rsidRDefault="00B021DF" w:rsidP="0081559B">
      <w:pPr>
        <w:pStyle w:val="QuoteAuthor"/>
      </w:pPr>
      <w:r w:rsidRPr="00620176">
        <w:t>SA small for-profit</w:t>
      </w:r>
    </w:p>
    <w:p w14:paraId="116A6D5B" w14:textId="11A026CF" w:rsidR="00B021DF" w:rsidRPr="002F3B5A" w:rsidRDefault="00B021DF" w:rsidP="0081559B">
      <w:pPr>
        <w:pStyle w:val="Quote"/>
      </w:pPr>
      <w:r w:rsidRPr="002F3B5A">
        <w:t>“Insufficient NDIS funding increase has impacted our ability to generate profit and reinvest in the sector.”</w:t>
      </w:r>
    </w:p>
    <w:p w14:paraId="50663236" w14:textId="77777777" w:rsidR="004316F3" w:rsidRDefault="00B021DF" w:rsidP="0081559B">
      <w:pPr>
        <w:pStyle w:val="QuoteAuthor"/>
      </w:pPr>
      <w:r w:rsidRPr="00620176">
        <w:t>NSW large not-for-profit</w:t>
      </w:r>
    </w:p>
    <w:p w14:paraId="702577F9" w14:textId="77777777" w:rsidR="004316F3" w:rsidRDefault="00B021DF" w:rsidP="0097062A">
      <w:r w:rsidRPr="00620176">
        <w:t xml:space="preserve">Respondents </w:t>
      </w:r>
      <w:r>
        <w:t>often</w:t>
      </w:r>
      <w:r w:rsidRPr="00620176">
        <w:t xml:space="preserve"> reported on profit attained from non-NDIS sources and experiencing cost increases:</w:t>
      </w:r>
    </w:p>
    <w:p w14:paraId="6DC23D9A" w14:textId="7BA1256B" w:rsidR="00B021DF" w:rsidRPr="002F3B5A" w:rsidRDefault="00B021DF" w:rsidP="0081559B">
      <w:pPr>
        <w:pStyle w:val="Quote"/>
      </w:pPr>
      <w:r w:rsidRPr="002F3B5A">
        <w:t>“We only made a profit as NDIS income isn’t our only income stream.”</w:t>
      </w:r>
    </w:p>
    <w:p w14:paraId="71DDB7CC" w14:textId="77777777" w:rsidR="004316F3" w:rsidRDefault="00B021DF" w:rsidP="0081559B">
      <w:pPr>
        <w:pStyle w:val="QuoteAuthor"/>
      </w:pPr>
      <w:r w:rsidRPr="6766CE18">
        <w:t>Q</w:t>
      </w:r>
      <w:r w:rsidR="006F05AD" w:rsidRPr="6766CE18">
        <w:t>ld</w:t>
      </w:r>
      <w:r w:rsidRPr="00620176">
        <w:t xml:space="preserve"> small not-for-profit</w:t>
      </w:r>
    </w:p>
    <w:p w14:paraId="24703C74" w14:textId="68788045" w:rsidR="00B021DF" w:rsidRPr="002F3B5A" w:rsidRDefault="00B021DF" w:rsidP="0081559B">
      <w:pPr>
        <w:pStyle w:val="Quote"/>
      </w:pPr>
      <w:r w:rsidRPr="28DCED7E">
        <w:t xml:space="preserve">“It is declining, but we are focused </w:t>
      </w:r>
      <w:r w:rsidR="00E86005" w:rsidRPr="28DCED7E">
        <w:t>o</w:t>
      </w:r>
      <w:r w:rsidRPr="28DCED7E">
        <w:t>n growing our brand and diversification outside of NDIS funding.”</w:t>
      </w:r>
    </w:p>
    <w:p w14:paraId="50352B4C" w14:textId="77777777" w:rsidR="004316F3" w:rsidRDefault="00B021DF" w:rsidP="0081559B">
      <w:pPr>
        <w:pStyle w:val="QuoteAuthor"/>
      </w:pPr>
      <w:r w:rsidRPr="00620176">
        <w:t>SA medium not-for-profit</w:t>
      </w:r>
    </w:p>
    <w:p w14:paraId="1F37C548" w14:textId="2D69D5A0" w:rsidR="00B021DF" w:rsidRPr="002F3B5A" w:rsidRDefault="00B021DF" w:rsidP="0081559B">
      <w:pPr>
        <w:pStyle w:val="Quote"/>
      </w:pPr>
      <w:r w:rsidRPr="002F3B5A">
        <w:t>“Our capacity to stay afloat is due to donations and state government funding.”</w:t>
      </w:r>
    </w:p>
    <w:p w14:paraId="5D8321E9" w14:textId="77777777" w:rsidR="004316F3" w:rsidRDefault="00B021DF" w:rsidP="0081559B">
      <w:pPr>
        <w:pStyle w:val="QuoteAuthor"/>
      </w:pPr>
      <w:r w:rsidRPr="00620176">
        <w:t>WA small not-for-profit</w:t>
      </w:r>
    </w:p>
    <w:p w14:paraId="4FEF5FFF" w14:textId="22CAEA16" w:rsidR="00B021DF" w:rsidRPr="002F3B5A" w:rsidRDefault="00B021DF" w:rsidP="0081559B">
      <w:pPr>
        <w:pStyle w:val="Quote"/>
      </w:pPr>
      <w:r w:rsidRPr="002F3B5A">
        <w:t>“With the rising costs in the economy and insurances in particular, we were expecting to see a loss this financial year.”</w:t>
      </w:r>
    </w:p>
    <w:p w14:paraId="6F6766BF" w14:textId="77777777" w:rsidR="004316F3" w:rsidRDefault="00B021DF" w:rsidP="0081559B">
      <w:pPr>
        <w:pStyle w:val="QuoteAuthor"/>
      </w:pPr>
      <w:r w:rsidRPr="00620176">
        <w:t>NSW small not-for-profit</w:t>
      </w:r>
    </w:p>
    <w:p w14:paraId="722687F0" w14:textId="0AB8D245" w:rsidR="00B021DF" w:rsidRPr="00620176" w:rsidRDefault="00B021DF" w:rsidP="0081559B">
      <w:pPr>
        <w:pStyle w:val="Quote"/>
        <w:rPr>
          <w:i/>
          <w:iCs/>
        </w:rPr>
      </w:pPr>
      <w:r w:rsidRPr="002F3B5A">
        <w:t>“Costs have increased far more than indexation.”</w:t>
      </w:r>
    </w:p>
    <w:p w14:paraId="0EEC1085" w14:textId="77777777" w:rsidR="004316F3" w:rsidRDefault="00B021DF" w:rsidP="0081559B">
      <w:pPr>
        <w:pStyle w:val="QuoteAuthor"/>
      </w:pPr>
      <w:r w:rsidRPr="00620176">
        <w:t>WA small not-for-profit</w:t>
      </w:r>
    </w:p>
    <w:p w14:paraId="37F4CD82" w14:textId="6CDDAABD" w:rsidR="00B021DF" w:rsidRPr="002F3B5A" w:rsidRDefault="00B021DF" w:rsidP="0081559B">
      <w:pPr>
        <w:pStyle w:val="Quote"/>
      </w:pPr>
      <w:r w:rsidRPr="002F3B5A">
        <w:t>“High building, equipment and staff costs.”</w:t>
      </w:r>
    </w:p>
    <w:p w14:paraId="3E89F99B" w14:textId="77777777" w:rsidR="004316F3" w:rsidRDefault="00B021DF" w:rsidP="0081559B">
      <w:pPr>
        <w:pStyle w:val="QuoteAuthor"/>
      </w:pPr>
      <w:r w:rsidRPr="00620176">
        <w:t>SA very small for-profit</w:t>
      </w:r>
    </w:p>
    <w:p w14:paraId="1071C6EE" w14:textId="77777777" w:rsidR="004316F3" w:rsidRDefault="00B021DF" w:rsidP="0097062A">
      <w:r w:rsidRPr="00620176">
        <w:t>Several respondents reported on unsustainable financial losses and a challenging financial environment:</w:t>
      </w:r>
    </w:p>
    <w:p w14:paraId="46A85487" w14:textId="4E398A0C" w:rsidR="00B021DF" w:rsidRPr="00620176" w:rsidRDefault="00B021DF" w:rsidP="0081559B">
      <w:pPr>
        <w:pStyle w:val="Quote"/>
      </w:pPr>
      <w:r w:rsidRPr="2ADF14C3">
        <w:t>“It is unsustainable without another source of revenue</w:t>
      </w:r>
      <w:r w:rsidR="00580CF1" w:rsidRPr="6766CE18">
        <w:t>,</w:t>
      </w:r>
      <w:r w:rsidRPr="2ADF14C3">
        <w:t xml:space="preserve"> e.g., fundraising, but even that might not be enough in the long term if the cost-of-living crisis continues.”</w:t>
      </w:r>
    </w:p>
    <w:p w14:paraId="7E2A2928" w14:textId="77777777" w:rsidR="004316F3" w:rsidRDefault="00B021DF" w:rsidP="0081559B">
      <w:pPr>
        <w:pStyle w:val="QuoteAuthor"/>
      </w:pPr>
      <w:r w:rsidRPr="6766CE18">
        <w:lastRenderedPageBreak/>
        <w:t>V</w:t>
      </w:r>
      <w:r w:rsidR="006F05AD" w:rsidRPr="6766CE18">
        <w:t>ic</w:t>
      </w:r>
      <w:r w:rsidRPr="6AD0082D">
        <w:t xml:space="preserve"> large not-for-profit</w:t>
      </w:r>
    </w:p>
    <w:p w14:paraId="21F1CC04" w14:textId="172193A7" w:rsidR="00B021DF" w:rsidRPr="00620176" w:rsidRDefault="00B021DF" w:rsidP="0081559B">
      <w:pPr>
        <w:pStyle w:val="Quote"/>
      </w:pPr>
      <w:r w:rsidRPr="7A6FA9FF">
        <w:t>“We have made a loss for the past few years. We've cut costs as much as we can but are gradually eroding equity. Wage growth keeps outstripping what we can charge, and it is slowly killing us.”</w:t>
      </w:r>
    </w:p>
    <w:p w14:paraId="4A585BC6" w14:textId="77777777" w:rsidR="004316F3" w:rsidRDefault="00B021DF" w:rsidP="0081559B">
      <w:pPr>
        <w:pStyle w:val="QuoteAuthor"/>
      </w:pPr>
      <w:r w:rsidRPr="00620176">
        <w:t>WA large not-for-profit</w:t>
      </w:r>
    </w:p>
    <w:p w14:paraId="0D93B4CD" w14:textId="77E94065" w:rsidR="00B021DF" w:rsidRPr="00620176" w:rsidRDefault="00B021DF" w:rsidP="0081559B">
      <w:pPr>
        <w:pStyle w:val="Quote"/>
      </w:pPr>
      <w:r w:rsidRPr="7A6FA9FF">
        <w:t xml:space="preserve">“Difficult and uncertain </w:t>
      </w:r>
      <w:r w:rsidRPr="711879CF">
        <w:rPr>
          <w:rFonts w:ascii="Segoe UI Symbol" w:eastAsia="Segoe UI Symbol" w:hAnsi="Segoe UI Symbol" w:cs="Segoe UI Symbol"/>
          <w:color w:val="000000" w:themeColor="text1"/>
          <w:lang w:val="en-US"/>
        </w:rPr>
        <w:t>⏤</w:t>
      </w:r>
      <w:r w:rsidRPr="7A6FA9FF">
        <w:t xml:space="preserve"> let's hope the sector confidence returns and stops throwing away good resources after bad.”</w:t>
      </w:r>
    </w:p>
    <w:p w14:paraId="4BF6F810" w14:textId="77777777" w:rsidR="004316F3" w:rsidRDefault="00B021DF" w:rsidP="0081559B">
      <w:pPr>
        <w:pStyle w:val="QuoteAuthor"/>
      </w:pPr>
      <w:r w:rsidRPr="6766CE18">
        <w:t>Q</w:t>
      </w:r>
      <w:r w:rsidR="006F05AD" w:rsidRPr="6766CE18">
        <w:t>ld</w:t>
      </w:r>
      <w:r w:rsidRPr="00620176">
        <w:t xml:space="preserve"> very small social enterprise</w:t>
      </w:r>
    </w:p>
    <w:p w14:paraId="3057D804" w14:textId="3AC5A926" w:rsidR="00B021DF" w:rsidRPr="00620176" w:rsidRDefault="00B021DF" w:rsidP="0081559B">
      <w:pPr>
        <w:pStyle w:val="Quote"/>
      </w:pPr>
      <w:r w:rsidRPr="12B01638">
        <w:t>“We, like many colleagues in our region, state and throughout the sector, are extremely vulnerable right now. Our cash position is diminishing, compliance and operational demands increase, yet real revenue for our services decreases.”</w:t>
      </w:r>
    </w:p>
    <w:p w14:paraId="33B7429A" w14:textId="77777777" w:rsidR="004316F3" w:rsidRDefault="00B021DF" w:rsidP="0081559B">
      <w:pPr>
        <w:pStyle w:val="QuoteAuthor"/>
      </w:pPr>
      <w:r w:rsidRPr="6766CE18">
        <w:t>V</w:t>
      </w:r>
      <w:r w:rsidR="008A600F" w:rsidRPr="6766CE18">
        <w:t>ic</w:t>
      </w:r>
      <w:r w:rsidRPr="00620176">
        <w:t xml:space="preserve"> medium not-for-profit</w:t>
      </w:r>
    </w:p>
    <w:p w14:paraId="5A5B45A8" w14:textId="77777777" w:rsidR="004316F3" w:rsidRDefault="00B021DF" w:rsidP="0097062A">
      <w:r w:rsidRPr="00620176">
        <w:t>A minority of respondents reported that they were in a sound financial position:</w:t>
      </w:r>
    </w:p>
    <w:p w14:paraId="66F5005F" w14:textId="7D023FEC" w:rsidR="00B021DF" w:rsidRPr="00620176" w:rsidRDefault="00B021DF" w:rsidP="0081559B">
      <w:pPr>
        <w:pStyle w:val="Quote"/>
      </w:pPr>
      <w:r w:rsidRPr="1CA3BBC1">
        <w:t>“We are presently investing in systems and processes that should have been done several years ago, as part of rebuilding back to where we need to be.”</w:t>
      </w:r>
    </w:p>
    <w:p w14:paraId="6CD58829" w14:textId="77777777" w:rsidR="004316F3" w:rsidRDefault="00B021DF" w:rsidP="0081559B">
      <w:pPr>
        <w:pStyle w:val="QuoteAuthor"/>
      </w:pPr>
      <w:r w:rsidRPr="00620176">
        <w:t>ACT large not-for-profit</w:t>
      </w:r>
    </w:p>
    <w:p w14:paraId="7EC6C478" w14:textId="7A8C20DC" w:rsidR="00B021DF" w:rsidRPr="00620176" w:rsidRDefault="00B021DF" w:rsidP="0081559B">
      <w:pPr>
        <w:pStyle w:val="Quote"/>
      </w:pPr>
      <w:r w:rsidRPr="1CA3BBC1">
        <w:t>“The deficit for last financial year was a deliberate strategy of investment in the organisation to position us well for changes from NDIS Review recommendations and implementation.”</w:t>
      </w:r>
    </w:p>
    <w:p w14:paraId="1D5A540D" w14:textId="77777777" w:rsidR="004316F3" w:rsidRDefault="00B021DF" w:rsidP="0081559B">
      <w:pPr>
        <w:pStyle w:val="QuoteAuthor"/>
      </w:pPr>
      <w:r w:rsidRPr="00620176">
        <w:t>ACT medium not-for-profit</w:t>
      </w:r>
    </w:p>
    <w:p w14:paraId="6260377A" w14:textId="1FABD014" w:rsidR="00B021DF" w:rsidRPr="00620176" w:rsidRDefault="00B021DF" w:rsidP="0081559B">
      <w:pPr>
        <w:pStyle w:val="Quote"/>
      </w:pPr>
      <w:r w:rsidRPr="015C40D9">
        <w:t>“We are a small agency that owns its infrastructure and assets ... we do not rent or hire premises, cars etc.”</w:t>
      </w:r>
    </w:p>
    <w:p w14:paraId="39A00DD6" w14:textId="77777777" w:rsidR="004316F3" w:rsidRDefault="00B021DF" w:rsidP="0081559B">
      <w:pPr>
        <w:pStyle w:val="QuoteAuthor"/>
      </w:pPr>
      <w:r w:rsidRPr="00620176">
        <w:t>NSW small not-for-profit</w:t>
      </w:r>
    </w:p>
    <w:p w14:paraId="5CD4E993" w14:textId="6415F68B" w:rsidR="2FB55432" w:rsidRDefault="2FB55432" w:rsidP="0097062A">
      <w:pPr>
        <w:pStyle w:val="Heading2"/>
      </w:pPr>
      <w:bookmarkStart w:id="66" w:name="_Toc180593627"/>
      <w:bookmarkStart w:id="67" w:name="_Toc181352000"/>
      <w:bookmarkStart w:id="68" w:name="_Toc184287164"/>
      <w:r w:rsidRPr="00924CF7">
        <w:lastRenderedPageBreak/>
        <w:t xml:space="preserve">Member story: </w:t>
      </w:r>
      <w:bookmarkEnd w:id="66"/>
      <w:bookmarkEnd w:id="67"/>
      <w:r w:rsidR="00924CF7">
        <w:t>h</w:t>
      </w:r>
      <w:r w:rsidRPr="6AD0082D">
        <w:t>elping people have a great life</w:t>
      </w:r>
      <w:bookmarkEnd w:id="68"/>
    </w:p>
    <w:p w14:paraId="26DD6A53" w14:textId="09B87F0C" w:rsidR="00924CF7" w:rsidRPr="00924CF7" w:rsidRDefault="00924CF7" w:rsidP="0097062A">
      <w:pPr>
        <w:pStyle w:val="Heading3"/>
      </w:pPr>
      <w:r>
        <w:t>Rise</w:t>
      </w:r>
    </w:p>
    <w:p w14:paraId="44C81157" w14:textId="0CF8889D" w:rsidR="2FB55432" w:rsidRDefault="2FB55432" w:rsidP="0097062A">
      <w:pPr>
        <w:rPr>
          <w:rFonts w:ascii="Aptos" w:eastAsia="Aptos" w:hAnsi="Aptos" w:cs="Aptos"/>
          <w:color w:val="000000" w:themeColor="text1"/>
        </w:rPr>
      </w:pPr>
      <w:r>
        <w:t>Operating across metropolitan Western Australia, Rise provides choices for more than 5</w:t>
      </w:r>
      <w:r w:rsidR="00924CF7">
        <w:t>,</w:t>
      </w:r>
      <w:r>
        <w:t xml:space="preserve">000 people from all walks of life. These include young people at risk, those experiencing mental health issues, people with disability, carers and older people. Rise was a trial site for the rollout of the NDIS in 2012 and </w:t>
      </w:r>
      <w:r w:rsidR="007E1E27">
        <w:t>now</w:t>
      </w:r>
      <w:r>
        <w:t xml:space="preserve"> offers support to people with disability at home and in the community, including supported accommodation, positive behaviour support, community support, social centres, an arts hub and support coordination.</w:t>
      </w:r>
    </w:p>
    <w:p w14:paraId="618B60A3" w14:textId="210442F0" w:rsidR="2FB55432" w:rsidRDefault="2FB55432" w:rsidP="0097062A">
      <w:pPr>
        <w:pStyle w:val="Heading4"/>
      </w:pPr>
      <w:r w:rsidRPr="50E3E469">
        <w:t>The future of support coordination</w:t>
      </w:r>
    </w:p>
    <w:p w14:paraId="42DB7939" w14:textId="77777777" w:rsidR="004316F3" w:rsidRDefault="304BD5D3" w:rsidP="0097062A">
      <w:r>
        <w:t xml:space="preserve">RISE CEO Justine Colyer </w:t>
      </w:r>
      <w:r w:rsidR="1385DDF6">
        <w:t xml:space="preserve">spoke about </w:t>
      </w:r>
      <w:r>
        <w:t xml:space="preserve">the dismay and frustration </w:t>
      </w:r>
      <w:r w:rsidR="32F8CF77">
        <w:t>of</w:t>
      </w:r>
      <w:r>
        <w:t xml:space="preserve"> d</w:t>
      </w:r>
      <w:r w:rsidR="2FB55432">
        <w:t xml:space="preserve">isability service providers around the country when the NDIS annual price review dropped on the last working day of the financial year. </w:t>
      </w:r>
      <w:r w:rsidR="246E1F04">
        <w:t xml:space="preserve">She </w:t>
      </w:r>
      <w:r w:rsidR="591E321E">
        <w:t xml:space="preserve">explained </w:t>
      </w:r>
      <w:r w:rsidR="69504E48">
        <w:t>how</w:t>
      </w:r>
      <w:r w:rsidR="2FB55432">
        <w:t xml:space="preserve"> the 3.19 per cent increase would only cover minimum wage rises and would not include </w:t>
      </w:r>
      <w:r w:rsidR="187034A4">
        <w:t xml:space="preserve">the </w:t>
      </w:r>
      <w:r w:rsidR="4288047D">
        <w:t xml:space="preserve">costs </w:t>
      </w:r>
      <w:r w:rsidR="187034A4">
        <w:t>of</w:t>
      </w:r>
      <w:r w:rsidR="2FB55432">
        <w:t xml:space="preserve"> inflation, insurance increases</w:t>
      </w:r>
      <w:r w:rsidR="187034A4">
        <w:t>,</w:t>
      </w:r>
      <w:r w:rsidR="4288047D">
        <w:t xml:space="preserve"> </w:t>
      </w:r>
      <w:r w:rsidR="27F51278">
        <w:t>and</w:t>
      </w:r>
      <w:r w:rsidR="6BD4257F">
        <w:t xml:space="preserve"> </w:t>
      </w:r>
      <w:r w:rsidR="2FB55432">
        <w:t xml:space="preserve">basic administration and compliance with quality standards. For the fifth consecutive year, prices for support coordination were not increased. </w:t>
      </w:r>
      <w:r w:rsidR="16B738CF">
        <w:t xml:space="preserve">Justine </w:t>
      </w:r>
      <w:r w:rsidR="2FB55432">
        <w:t>described the current situation as "the worst it’s ever been”.</w:t>
      </w:r>
    </w:p>
    <w:p w14:paraId="28577178" w14:textId="50936D78" w:rsidR="2FB55432" w:rsidRDefault="2FB55432" w:rsidP="0097062A">
      <w:pPr>
        <w:pStyle w:val="Heading4"/>
      </w:pPr>
      <w:r w:rsidRPr="537C6E22">
        <w:t>“We just want respect ...</w:t>
      </w:r>
    </w:p>
    <w:p w14:paraId="6C12C548" w14:textId="77777777" w:rsidR="004316F3" w:rsidRDefault="2FB55432" w:rsidP="0097062A">
      <w:r>
        <w:t>Justine described the frustration and fatigue of providers lobbying for change and having to repeatedly prosecute their position to the NDIA. She wanted to highlight two key concerns</w:t>
      </w:r>
      <w:r w:rsidR="00DA04F3">
        <w:t>:</w:t>
      </w:r>
      <w:r>
        <w:t xml:space="preserve"> respect and funding. Speaking about the release of the price guide on Friday June 28, with its implementation the following Monday, Justine said providers felt undervalued and disrespected. “Treating providers respectfully costs no money.” She also lamented Minister Shorten’s pronouncements of “shonky” service providers in his letters to participants</w:t>
      </w:r>
      <w:r w:rsidR="16EC627E">
        <w:t>,</w:t>
      </w:r>
      <w:r>
        <w:t xml:space="preserve"> which raised fear in participants and undermined the great work of </w:t>
      </w:r>
      <w:proofErr w:type="gramStart"/>
      <w:r>
        <w:t>the majority of</w:t>
      </w:r>
      <w:proofErr w:type="gramEnd"/>
      <w:r>
        <w:t xml:space="preserve"> providers.</w:t>
      </w:r>
    </w:p>
    <w:p w14:paraId="504D4172" w14:textId="78C6575F" w:rsidR="2FB55432" w:rsidRDefault="2FB55432" w:rsidP="0097062A">
      <w:pPr>
        <w:pStyle w:val="Heading4"/>
      </w:pPr>
      <w:r w:rsidRPr="6AD0082D">
        <w:lastRenderedPageBreak/>
        <w:t xml:space="preserve"> ... and fair funding”</w:t>
      </w:r>
    </w:p>
    <w:p w14:paraId="26C42567" w14:textId="77777777" w:rsidR="004316F3" w:rsidRDefault="2FB55432" w:rsidP="0097062A">
      <w:r>
        <w:t>The pricing decision failed to acknowledge the true costs of service delivery, leading Rise and other organisations to seriously consider their future. Justine reflected that while the NDIA had committed to developing a cost model for support coordination, it then cited the dynamic nature of the market and potential disruption as reasons to hold off on structural changes to the pricing approach.</w:t>
      </w:r>
    </w:p>
    <w:p w14:paraId="7DE4D16B" w14:textId="77777777" w:rsidR="004316F3" w:rsidRDefault="578DFB02" w:rsidP="0097062A">
      <w:r>
        <w:t xml:space="preserve">Furious about insinuations by government that organisations should work smarter, not harder, Justine described Rise as a “lean organisation”. When we asked what </w:t>
      </w:r>
      <w:proofErr w:type="gramStart"/>
      <w:r>
        <w:t>strategies</w:t>
      </w:r>
      <w:proofErr w:type="gramEnd"/>
      <w:r>
        <w:t xml:space="preserve"> Rise has engaged to keep the doors open, she said one solution was to cap the number of participants they accept. But they don’t want to do that at a time when there is more demand than supply.</w:t>
      </w:r>
    </w:p>
    <w:p w14:paraId="73C6872B" w14:textId="4DDBA20E" w:rsidR="2FB55432" w:rsidRDefault="2FB55432" w:rsidP="0097062A">
      <w:pPr>
        <w:rPr>
          <w:rFonts w:ascii="Aptos" w:eastAsia="Aptos" w:hAnsi="Aptos" w:cs="Aptos"/>
          <w:color w:val="000000" w:themeColor="text1"/>
        </w:rPr>
      </w:pPr>
      <w:r>
        <w:t>The prices set by the NDIA go nowhere near to covering increases in the costs of running a well-managed service. Compensation for wage increases is not enough when providers have seen costs rise in every other area of operations: utilities, rent, insurance and workers compensation.</w:t>
      </w:r>
    </w:p>
    <w:p w14:paraId="78183D8B" w14:textId="77777777" w:rsidR="004316F3" w:rsidRDefault="2FB55432" w:rsidP="0097062A">
      <w:r>
        <w:t>Rise is now scrutinising its models, consulting its workforce on what changes can be made and reworking the figures to test whether these changes might enable them to keep operating.</w:t>
      </w:r>
    </w:p>
    <w:p w14:paraId="2CF24542" w14:textId="77777777" w:rsidR="004316F3" w:rsidRDefault="2FB55432" w:rsidP="0097062A">
      <w:r>
        <w:t>In a worst-case scenario, Justine forecast that Rise may need to cease some of its disability services by the end of 2024, which will have a ripple effect throughout the organisation. There is a huge human cost to this for workers, participants and their families.</w:t>
      </w:r>
    </w:p>
    <w:p w14:paraId="2C9E96E4" w14:textId="54FDF023" w:rsidR="2FB55432" w:rsidRDefault="2FB55432" w:rsidP="0081559B">
      <w:pPr>
        <w:pStyle w:val="Quote"/>
      </w:pPr>
      <w:r w:rsidRPr="6AD0082D">
        <w:t>"Belonging to peaks like NDS and liaising with our colleagues is what keeps us motivated.”</w:t>
      </w:r>
    </w:p>
    <w:p w14:paraId="7378272D" w14:textId="77777777" w:rsidR="004316F3" w:rsidRDefault="2FB55432" w:rsidP="0097062A">
      <w:r>
        <w:t>Justine praised her sector partners as collaborative and collegiate. “We allow ourselves a little bit of ranting and then we just get cracking, doing what we can do.” Yet</w:t>
      </w:r>
      <w:r w:rsidR="4FCFDDD5">
        <w:t>,</w:t>
      </w:r>
      <w:r>
        <w:t xml:space="preserve"> she increasingly hears stories of providers considering shutting their doors, with even large providers merging to stay viable. These concerns for survival were confirmed by the NDS Pulse Survey in July </w:t>
      </w:r>
      <w:r w:rsidR="4053A3B5">
        <w:t>that</w:t>
      </w:r>
      <w:r>
        <w:t xml:space="preserve"> revealed many providers had shifted from finding ways to cut budgets without cutting corners to seriously considering cutting services entirely. Justine hopes the State of the Disability Sector Report will </w:t>
      </w:r>
      <w:r>
        <w:lastRenderedPageBreak/>
        <w:t>persuade government to reconsider its stance on pricing. “We feel things will get to a pinch point and then something different will have to be done.”</w:t>
      </w:r>
    </w:p>
    <w:p w14:paraId="63B93A15" w14:textId="6557C6F2" w:rsidR="2FB55432" w:rsidRDefault="2FB55432" w:rsidP="0097062A">
      <w:pPr>
        <w:pStyle w:val="Heading4"/>
      </w:pPr>
      <w:r w:rsidRPr="6AD0082D">
        <w:t>Looking ahead</w:t>
      </w:r>
    </w:p>
    <w:p w14:paraId="526DA864" w14:textId="77777777" w:rsidR="004316F3" w:rsidRDefault="578DFB02" w:rsidP="0097062A">
      <w:r>
        <w:t>Like all providers, Rise wants to offer its teams fair remuneration, attractive career pathways and a safe working environment. They want to assure participants and their families of quality, safe and accountable supports. When we asked how the Rise leadership team buoys its staff, Justine explained, “We’re very transparent with our team; we let them know things and we involve them in finding different and more efficient ways of doing things”</w:t>
      </w:r>
      <w:r w:rsidR="26E5F524">
        <w:t>,</w:t>
      </w:r>
      <w:r>
        <w:t xml:space="preserve"> describing her team as problem solvers. She still believes the NDIS is a great scheme that can offer a mix of supports to help participants develop the skills they need to maintain relationships, live independently, and participate in their community.</w:t>
      </w:r>
    </w:p>
    <w:p w14:paraId="296E34AD" w14:textId="6383CD73" w:rsidR="2FB55432" w:rsidRDefault="2FB55432" w:rsidP="00006BC7">
      <w:pPr>
        <w:pStyle w:val="Heading4"/>
      </w:pPr>
      <w:r w:rsidRPr="6AD0082D">
        <w:t xml:space="preserve">The </w:t>
      </w:r>
      <w:r w:rsidR="00924CF7">
        <w:t xml:space="preserve">value of </w:t>
      </w:r>
      <w:r w:rsidRPr="6AD0082D">
        <w:t>support coordination</w:t>
      </w:r>
    </w:p>
    <w:p w14:paraId="1CA47752" w14:textId="77777777" w:rsidR="004316F3" w:rsidRDefault="2FB55432" w:rsidP="0097062A">
      <w:r>
        <w:t xml:space="preserve">Thirty-year-old </w:t>
      </w:r>
      <w:r w:rsidRPr="1595A0FA">
        <w:t xml:space="preserve">John </w:t>
      </w:r>
      <w:r>
        <w:t>has a physical disability and lives alone. John’s support coordinator helps him stay independent by finding support workers to assist with meal preparation, caring for himself and going out. John also relies on his support coordinator to make appointments with his GP, explain the health advice, attend physiotherapy appointments and take his medication safely. Without this help, John’s health would deteriorate quickly; he would need even further supports, requiring increased funding in the long term.</w:t>
      </w:r>
    </w:p>
    <w:p w14:paraId="0A6A264E" w14:textId="53E1E895" w:rsidR="004316F3" w:rsidRDefault="2FB55432" w:rsidP="0097062A">
      <w:pPr>
        <w:rPr>
          <w:rFonts w:eastAsia="Aptos"/>
        </w:rPr>
      </w:pPr>
      <w:r>
        <w:t xml:space="preserve">The move of John’s records to the new NDIS PACE system compounded his situation. John and his guardians rely on his support coordinator to navigate and understand this new system and provide practical guidance on how to </w:t>
      </w:r>
      <w:r w:rsidR="00DA04F3">
        <w:t>use</w:t>
      </w:r>
      <w:r>
        <w:t xml:space="preserve"> his funding for the supports he needs.</w:t>
      </w:r>
    </w:p>
    <w:p w14:paraId="2007C2D4" w14:textId="77777777" w:rsidR="004316F3" w:rsidRDefault="2FB55432" w:rsidP="0097062A">
      <w:pPr>
        <w:rPr>
          <w:rFonts w:ascii="Aptos" w:eastAsia="Aptos" w:hAnsi="Aptos" w:cs="Aptos"/>
          <w:color w:val="000000" w:themeColor="text1"/>
        </w:rPr>
      </w:pPr>
      <w:r w:rsidRPr="1595A0FA">
        <w:t xml:space="preserve">Debbie </w:t>
      </w:r>
      <w:r>
        <w:t>is 40 years old, lives alone and is unable to work. With an intellectual disability and speaking English as her second language, Debbie relies on her support coordinator to interpret her NDIS plan and set up her supports. Debbie also needs help with using the internet and other digital channels. Without guidance on how to navigate the internet safely, Debbie would be at the mercy of the numerous online scams and fraudulent activity that is rife in the virtual world. Without support coordination, Debbie would not receive the supports she is entitled to.</w:t>
      </w:r>
    </w:p>
    <w:p w14:paraId="1DA5EB54" w14:textId="5B45CE4A" w:rsidR="0E7CF1B9" w:rsidRPr="00924CF7" w:rsidRDefault="05CA89EA" w:rsidP="0097062A">
      <w:pPr>
        <w:pStyle w:val="Heading2"/>
      </w:pPr>
      <w:bookmarkStart w:id="69" w:name="_Toc180593628"/>
      <w:bookmarkStart w:id="70" w:name="_Toc181352001"/>
      <w:bookmarkStart w:id="71" w:name="_Toc184287165"/>
      <w:r w:rsidRPr="00924CF7">
        <w:lastRenderedPageBreak/>
        <w:t>Member story: social participation</w:t>
      </w:r>
      <w:bookmarkEnd w:id="69"/>
      <w:bookmarkEnd w:id="70"/>
      <w:bookmarkEnd w:id="71"/>
    </w:p>
    <w:p w14:paraId="3DDFDD31" w14:textId="3E3672D6" w:rsidR="05CA89EA" w:rsidRDefault="05CA89EA" w:rsidP="0097062A">
      <w:pPr>
        <w:pStyle w:val="Heading3"/>
      </w:pPr>
      <w:r w:rsidRPr="6AD0082D">
        <w:rPr>
          <w:lang w:val="en-GB"/>
        </w:rPr>
        <w:t>Sharing Places, ACT</w:t>
      </w:r>
    </w:p>
    <w:p w14:paraId="5B08B6A0" w14:textId="77777777" w:rsidR="004316F3" w:rsidRDefault="05CA89EA" w:rsidP="0097062A">
      <w:pPr>
        <w:rPr>
          <w:lang w:val="en-GB"/>
        </w:rPr>
      </w:pPr>
      <w:r w:rsidRPr="644B5232">
        <w:rPr>
          <w:lang w:val="en-GB"/>
        </w:rPr>
        <w:t>Based in the ACT, Sharing Places provides community access and social participation support for 180 adults with severe to profound disability who have high and complex support needs. All participants have a primary intellectual disability</w:t>
      </w:r>
      <w:r w:rsidR="00693D5D" w:rsidRPr="6766CE18">
        <w:rPr>
          <w:lang w:val="en-GB"/>
        </w:rPr>
        <w:t>.</w:t>
      </w:r>
      <w:r w:rsidRPr="6766CE18">
        <w:rPr>
          <w:lang w:val="en-GB"/>
        </w:rPr>
        <w:t xml:space="preserve"> </w:t>
      </w:r>
      <w:r w:rsidR="00693D5D" w:rsidRPr="6766CE18">
        <w:rPr>
          <w:lang w:val="en-GB"/>
        </w:rPr>
        <w:t>S</w:t>
      </w:r>
      <w:r w:rsidRPr="6766CE18">
        <w:rPr>
          <w:lang w:val="en-GB"/>
        </w:rPr>
        <w:t>ome</w:t>
      </w:r>
      <w:r w:rsidRPr="644B5232">
        <w:rPr>
          <w:lang w:val="en-GB"/>
        </w:rPr>
        <w:t xml:space="preserve"> have serious health conditions</w:t>
      </w:r>
      <w:r w:rsidR="004B4549" w:rsidRPr="6766CE18">
        <w:rPr>
          <w:lang w:val="en-GB"/>
        </w:rPr>
        <w:t>,</w:t>
      </w:r>
      <w:r w:rsidRPr="644B5232">
        <w:rPr>
          <w:lang w:val="en-GB"/>
        </w:rPr>
        <w:t xml:space="preserve"> while approximately 50 people </w:t>
      </w:r>
      <w:r w:rsidR="004B4549" w:rsidRPr="6766CE18">
        <w:rPr>
          <w:lang w:val="en-GB"/>
        </w:rPr>
        <w:t>have</w:t>
      </w:r>
      <w:r w:rsidRPr="644B5232">
        <w:rPr>
          <w:lang w:val="en-GB"/>
        </w:rPr>
        <w:t xml:space="preserve"> positive behaviour support plans. Sharing Places is the only disability service provider in the ACT delivering quality day options and catering to such a diverse set of needs.</w:t>
      </w:r>
    </w:p>
    <w:p w14:paraId="20616AAE" w14:textId="77777777" w:rsidR="004316F3" w:rsidRDefault="304B9A85" w:rsidP="0097062A">
      <w:pPr>
        <w:rPr>
          <w:lang w:val="en-GB"/>
        </w:rPr>
      </w:pPr>
      <w:r w:rsidRPr="644B5232">
        <w:rPr>
          <w:lang w:val="en-GB"/>
        </w:rPr>
        <w:t xml:space="preserve">Sharing Places’ values </w:t>
      </w:r>
      <w:r w:rsidR="00AD077F" w:rsidRPr="644B5232">
        <w:rPr>
          <w:lang w:val="en-GB"/>
        </w:rPr>
        <w:t>are</w:t>
      </w:r>
      <w:r w:rsidRPr="644B5232">
        <w:rPr>
          <w:lang w:val="en-GB"/>
        </w:rPr>
        <w:t xml:space="preserve"> respect for everyone</w:t>
      </w:r>
      <w:r w:rsidR="00145009" w:rsidRPr="6766CE18">
        <w:rPr>
          <w:lang w:val="en-GB"/>
        </w:rPr>
        <w:t>,</w:t>
      </w:r>
      <w:r w:rsidRPr="644B5232">
        <w:rPr>
          <w:lang w:val="en-GB"/>
        </w:rPr>
        <w:t xml:space="preserve"> people at its centre</w:t>
      </w:r>
      <w:r w:rsidR="00145009" w:rsidRPr="6766CE18">
        <w:rPr>
          <w:lang w:val="en-GB"/>
        </w:rPr>
        <w:t>,</w:t>
      </w:r>
      <w:r w:rsidRPr="644B5232">
        <w:rPr>
          <w:lang w:val="en-GB"/>
        </w:rPr>
        <w:t xml:space="preserve"> social inclusion</w:t>
      </w:r>
      <w:r w:rsidR="00145009" w:rsidRPr="6766CE18">
        <w:rPr>
          <w:lang w:val="en-GB"/>
        </w:rPr>
        <w:t>,</w:t>
      </w:r>
      <w:r w:rsidRPr="644B5232">
        <w:rPr>
          <w:lang w:val="en-GB"/>
        </w:rPr>
        <w:t xml:space="preserve"> participation and development</w:t>
      </w:r>
      <w:r w:rsidR="00145009" w:rsidRPr="6766CE18">
        <w:rPr>
          <w:lang w:val="en-GB"/>
        </w:rPr>
        <w:t>,</w:t>
      </w:r>
      <w:r w:rsidRPr="644B5232">
        <w:rPr>
          <w:lang w:val="en-GB"/>
        </w:rPr>
        <w:t xml:space="preserve"> collective and collaborative action</w:t>
      </w:r>
      <w:r w:rsidR="00145009" w:rsidRPr="6766CE18">
        <w:rPr>
          <w:lang w:val="en-GB"/>
        </w:rPr>
        <w:t>,</w:t>
      </w:r>
      <w:r w:rsidRPr="644B5232">
        <w:rPr>
          <w:lang w:val="en-GB"/>
        </w:rPr>
        <w:t xml:space="preserve"> and sustainability. Speaking with CEO</w:t>
      </w:r>
      <w:r w:rsidR="27DA810A" w:rsidRPr="644B5232">
        <w:rPr>
          <w:lang w:val="en-GB"/>
        </w:rPr>
        <w:t xml:space="preserve"> </w:t>
      </w:r>
      <w:r w:rsidRPr="644B5232">
        <w:rPr>
          <w:lang w:val="en-GB"/>
        </w:rPr>
        <w:t>Kylie Stokes, it became immediately clear she embraces these values</w:t>
      </w:r>
      <w:r w:rsidR="00B7525B" w:rsidRPr="6766CE18">
        <w:rPr>
          <w:lang w:val="en-GB"/>
        </w:rPr>
        <w:t>,</w:t>
      </w:r>
      <w:r w:rsidRPr="644B5232">
        <w:rPr>
          <w:lang w:val="en-GB"/>
        </w:rPr>
        <w:t xml:space="preserve"> which carries through to a successful disability service for participants.</w:t>
      </w:r>
    </w:p>
    <w:p w14:paraId="679FBE29" w14:textId="7852ED2A" w:rsidR="05CA89EA" w:rsidRPr="00924CF7" w:rsidRDefault="05CA89EA" w:rsidP="0097062A">
      <w:pPr>
        <w:pStyle w:val="Heading4"/>
      </w:pPr>
      <w:r w:rsidRPr="00924CF7">
        <w:t>Working for Sharing Places</w:t>
      </w:r>
    </w:p>
    <w:p w14:paraId="2C5BA031" w14:textId="77777777" w:rsidR="004316F3" w:rsidRDefault="05CA89EA" w:rsidP="0097062A">
      <w:r>
        <w:t xml:space="preserve">Kylie told us that staff at Sharing Places build trusting relationships with participants, </w:t>
      </w:r>
      <w:r w:rsidR="1EB15272">
        <w:t>“</w:t>
      </w:r>
      <w:r>
        <w:t>as people with high and complex needs can only achieve their goals when they are in environments where they feel comfortable to take on challenges</w:t>
      </w:r>
      <w:r w:rsidR="45868C52">
        <w:t>”</w:t>
      </w:r>
      <w:r>
        <w:t xml:space="preserve">. Kylie described her staff in terms of </w:t>
      </w:r>
      <w:r w:rsidR="0068266E">
        <w:t>“</w:t>
      </w:r>
      <w:r>
        <w:t>communities who support each other</w:t>
      </w:r>
      <w:r w:rsidR="0068266E">
        <w:t>”</w:t>
      </w:r>
      <w:r>
        <w:t>. Some teams are naturally connected by their shared cultural background, and she even described a family of five siblings who have worked together at Sharing Places.</w:t>
      </w:r>
    </w:p>
    <w:p w14:paraId="45C14111" w14:textId="77777777" w:rsidR="004316F3" w:rsidRDefault="05CA89EA" w:rsidP="0097062A">
      <w:pPr>
        <w:pStyle w:val="Heading4"/>
      </w:pPr>
      <w:r w:rsidRPr="00924CF7">
        <w:t>Supporting the support staff</w:t>
      </w:r>
    </w:p>
    <w:p w14:paraId="1E0A1DB5" w14:textId="521D3684" w:rsidR="05CA89EA" w:rsidRDefault="05CA89EA" w:rsidP="0097062A">
      <w:pPr>
        <w:rPr>
          <w:rFonts w:ascii="Aptos" w:eastAsia="Aptos" w:hAnsi="Aptos" w:cs="Aptos"/>
          <w:color w:val="000000" w:themeColor="text1"/>
        </w:rPr>
      </w:pPr>
      <w:r w:rsidRPr="644B5232">
        <w:rPr>
          <w:lang w:val="en-GB"/>
        </w:rPr>
        <w:t xml:space="preserve">We spoke about how the organisation looks after its staff, </w:t>
      </w:r>
      <w:r w:rsidR="00D17E40" w:rsidRPr="6766CE18">
        <w:rPr>
          <w:lang w:val="en-GB"/>
        </w:rPr>
        <w:t>even though</w:t>
      </w:r>
      <w:r w:rsidRPr="644B5232">
        <w:rPr>
          <w:lang w:val="en-GB"/>
        </w:rPr>
        <w:t xml:space="preserve"> high staff turnover is typical in an environment where service users have very high support needs. Kylie said</w:t>
      </w:r>
      <w:r w:rsidR="008B54A9" w:rsidRPr="6766CE18">
        <w:rPr>
          <w:lang w:val="en-GB"/>
        </w:rPr>
        <w:t>,</w:t>
      </w:r>
      <w:r w:rsidRPr="644B5232">
        <w:rPr>
          <w:lang w:val="en-GB"/>
        </w:rPr>
        <w:t xml:space="preserve"> by knowing and understanding participants well, staff can share responsibilities for people who have complex support needs, reducing instances of staff burnout.</w:t>
      </w:r>
    </w:p>
    <w:p w14:paraId="28CA8A67" w14:textId="77777777" w:rsidR="004316F3" w:rsidRDefault="05CA89EA" w:rsidP="0097062A">
      <w:pPr>
        <w:rPr>
          <w:lang w:val="en-GB"/>
        </w:rPr>
      </w:pPr>
      <w:r w:rsidRPr="644B5232">
        <w:rPr>
          <w:lang w:val="en-GB"/>
        </w:rPr>
        <w:t>Participants often have complex needs</w:t>
      </w:r>
      <w:r w:rsidR="006C1051" w:rsidRPr="6766CE18">
        <w:rPr>
          <w:lang w:val="en-GB"/>
        </w:rPr>
        <w:t>,</w:t>
      </w:r>
      <w:r w:rsidRPr="644B5232">
        <w:rPr>
          <w:lang w:val="en-GB"/>
        </w:rPr>
        <w:t xml:space="preserve"> and Sharing Places equips staff with knowledge </w:t>
      </w:r>
      <w:r w:rsidR="005A41FD" w:rsidRPr="6766CE18">
        <w:rPr>
          <w:lang w:val="en-GB"/>
        </w:rPr>
        <w:t xml:space="preserve">on </w:t>
      </w:r>
      <w:r w:rsidR="003D13AF" w:rsidRPr="6766CE18">
        <w:rPr>
          <w:lang w:val="en-GB"/>
        </w:rPr>
        <w:t xml:space="preserve">the client’s individual needs </w:t>
      </w:r>
      <w:r w:rsidRPr="644B5232">
        <w:rPr>
          <w:lang w:val="en-GB"/>
        </w:rPr>
        <w:t xml:space="preserve">before they </w:t>
      </w:r>
      <w:r w:rsidR="00CC7827" w:rsidRPr="6766CE18">
        <w:rPr>
          <w:lang w:val="en-GB"/>
        </w:rPr>
        <w:t>work</w:t>
      </w:r>
      <w:r w:rsidRPr="644B5232">
        <w:rPr>
          <w:lang w:val="en-GB"/>
        </w:rPr>
        <w:t xml:space="preserve"> without close </w:t>
      </w:r>
      <w:r w:rsidRPr="644B5232">
        <w:rPr>
          <w:lang w:val="en-GB"/>
        </w:rPr>
        <w:lastRenderedPageBreak/>
        <w:t>supervision. Three months of induction extends their basic disability qualifications to a level where they can safely and competently support participants.</w:t>
      </w:r>
    </w:p>
    <w:p w14:paraId="2B525DB4" w14:textId="77777777" w:rsidR="004316F3" w:rsidRDefault="304B9A85" w:rsidP="0097062A">
      <w:pPr>
        <w:rPr>
          <w:lang w:val="en-GB"/>
        </w:rPr>
      </w:pPr>
      <w:r w:rsidRPr="50E3E469">
        <w:rPr>
          <w:lang w:val="en-GB"/>
        </w:rPr>
        <w:t>Once they start work, staff are mentored through team meetings and ongoing professional development from experienced colleagues. The 16 teams of mostly permanent employees are well-prepared to meet the specific support needs of all participants whose individual profiles are updated as their needs change. Positive Behaviour Support Plans are regularly reviewed to ensure they are still effective and suitable.</w:t>
      </w:r>
    </w:p>
    <w:p w14:paraId="1FF234B7" w14:textId="7D2C6602" w:rsidR="05CA89EA" w:rsidRDefault="304B9A85" w:rsidP="0097062A">
      <w:pPr>
        <w:rPr>
          <w:rFonts w:ascii="Aptos" w:eastAsia="Aptos" w:hAnsi="Aptos" w:cs="Aptos"/>
          <w:color w:val="000000" w:themeColor="text1"/>
        </w:rPr>
      </w:pPr>
      <w:r w:rsidRPr="50E3E469">
        <w:rPr>
          <w:lang w:val="en-GB"/>
        </w:rPr>
        <w:t>A fleet of 25 vehicles</w:t>
      </w:r>
      <w:r w:rsidR="002B19DA" w:rsidRPr="6766CE18">
        <w:rPr>
          <w:lang w:val="en-GB"/>
        </w:rPr>
        <w:t>,</w:t>
      </w:r>
      <w:r w:rsidRPr="6766CE18">
        <w:rPr>
          <w:lang w:val="en-GB"/>
        </w:rPr>
        <w:t xml:space="preserve"> most</w:t>
      </w:r>
      <w:r w:rsidR="00F60DE8" w:rsidRPr="6766CE18">
        <w:rPr>
          <w:lang w:val="en-GB"/>
        </w:rPr>
        <w:t>ly</w:t>
      </w:r>
      <w:r w:rsidRPr="50E3E469">
        <w:rPr>
          <w:lang w:val="en-GB"/>
        </w:rPr>
        <w:t xml:space="preserve"> modified</w:t>
      </w:r>
      <w:r w:rsidR="00F60DE8" w:rsidRPr="6766CE18">
        <w:rPr>
          <w:lang w:val="en-GB"/>
        </w:rPr>
        <w:t>,</w:t>
      </w:r>
      <w:r w:rsidRPr="50E3E469">
        <w:rPr>
          <w:lang w:val="en-GB"/>
        </w:rPr>
        <w:t xml:space="preserve"> </w:t>
      </w:r>
      <w:r>
        <w:t>ensures people can participate in their community.</w:t>
      </w:r>
      <w:r w:rsidR="20E77D08">
        <w:t xml:space="preserve"> </w:t>
      </w:r>
      <w:r w:rsidR="4A8941BE">
        <w:t>“</w:t>
      </w:r>
      <w:r>
        <w:t>We strive to create opportunities for community inclusion while breaking down barriers and raising awareness.</w:t>
      </w:r>
      <w:r w:rsidR="707397CA">
        <w:t>”</w:t>
      </w:r>
    </w:p>
    <w:p w14:paraId="5267ABAE" w14:textId="54966613" w:rsidR="05CA89EA" w:rsidRDefault="05CA89EA" w:rsidP="0097062A">
      <w:pPr>
        <w:pStyle w:val="Heading4"/>
      </w:pPr>
      <w:r w:rsidRPr="6AD0082D">
        <w:rPr>
          <w:lang w:val="en-GB"/>
        </w:rPr>
        <w:t>The recent price guide bombshell</w:t>
      </w:r>
    </w:p>
    <w:p w14:paraId="145EF5B3" w14:textId="77777777" w:rsidR="004316F3" w:rsidRDefault="7813AABE" w:rsidP="0097062A">
      <w:r>
        <w:t xml:space="preserve">None of this training and infrastructure and training come cheaply, and </w:t>
      </w:r>
      <w:r w:rsidR="00700040" w:rsidRPr="6766CE18">
        <w:rPr>
          <w:lang w:val="en-GB"/>
        </w:rPr>
        <w:t xml:space="preserve">Sharing Places was </w:t>
      </w:r>
      <w:r w:rsidR="0071282D" w:rsidRPr="6766CE18">
        <w:rPr>
          <w:lang w:val="en-GB"/>
        </w:rPr>
        <w:t>another</w:t>
      </w:r>
      <w:r w:rsidRPr="50E3E469">
        <w:rPr>
          <w:lang w:val="en-GB"/>
        </w:rPr>
        <w:t xml:space="preserve"> organisation blindsided by a funding decision at the end of June</w:t>
      </w:r>
      <w:r w:rsidR="00197F6F" w:rsidRPr="6766CE18">
        <w:rPr>
          <w:lang w:val="en-GB"/>
        </w:rPr>
        <w:t>,</w:t>
      </w:r>
      <w:r w:rsidRPr="50E3E469">
        <w:rPr>
          <w:lang w:val="en-GB"/>
        </w:rPr>
        <w:t xml:space="preserve"> when the government announced it would discontinue high intensity payments for behaviour support. </w:t>
      </w:r>
      <w:r>
        <w:t>Kylie reflected that one of the most difficult things in the last ten years had been the lack of guidance from the NDIA about the pricing guide.</w:t>
      </w:r>
      <w:r w:rsidR="20E77D08">
        <w:t xml:space="preserve"> </w:t>
      </w:r>
      <w:r>
        <w:t xml:space="preserve">She said, </w:t>
      </w:r>
      <w:r w:rsidR="1A6C37CE">
        <w:t>“</w:t>
      </w:r>
      <w:r>
        <w:t>We have struggled with that from day one and it has never improved; in fact, it has declined.</w:t>
      </w:r>
      <w:r w:rsidR="078AD0C1">
        <w:t>”</w:t>
      </w:r>
    </w:p>
    <w:p w14:paraId="0C17051A" w14:textId="11E1895A" w:rsidR="05CA89EA" w:rsidRDefault="304B9A85" w:rsidP="0097062A">
      <w:pPr>
        <w:rPr>
          <w:rFonts w:ascii="Aptos" w:eastAsia="Aptos" w:hAnsi="Aptos" w:cs="Aptos"/>
          <w:strike/>
          <w:color w:val="D13438"/>
        </w:rPr>
      </w:pPr>
      <w:r>
        <w:t xml:space="preserve">Sharing Places modified its models of support ten years ago and, since then they have </w:t>
      </w:r>
      <w:r w:rsidR="00867687">
        <w:t xml:space="preserve">also </w:t>
      </w:r>
      <w:r>
        <w:t>dealt with the challenge of moving to the new group pricing</w:t>
      </w:r>
      <w:r w:rsidR="002401B1">
        <w:t xml:space="preserve"> arrangements</w:t>
      </w:r>
      <w:r w:rsidR="565AE265">
        <w:t>.</w:t>
      </w:r>
    </w:p>
    <w:p w14:paraId="52DDF894" w14:textId="7E1B7EDE" w:rsidR="05CA89EA" w:rsidRDefault="05CA89EA" w:rsidP="0097062A">
      <w:pPr>
        <w:pStyle w:val="Heading4"/>
      </w:pPr>
      <w:r w:rsidRPr="6AD0082D">
        <w:t>Major frustrations</w:t>
      </w:r>
    </w:p>
    <w:p w14:paraId="13A2681A" w14:textId="1C39D50D" w:rsidR="05CA89EA" w:rsidRDefault="05CA89EA" w:rsidP="0097062A">
      <w:r>
        <w:t>Sharing Places has provided behaviour support for 35 years. They believe they do it well. But they feel the NDIA has not listened to providers and families</w:t>
      </w:r>
      <w:r w:rsidR="00602181">
        <w:t xml:space="preserve"> when they have </w:t>
      </w:r>
      <w:r w:rsidR="00CD2CD9">
        <w:t>described</w:t>
      </w:r>
      <w:r>
        <w:t xml:space="preserve"> the consequences of </w:t>
      </w:r>
      <w:r w:rsidR="00BF3062">
        <w:t>reducing</w:t>
      </w:r>
      <w:r>
        <w:t xml:space="preserve"> funding.</w:t>
      </w:r>
      <w:r w:rsidR="20E77D08">
        <w:t xml:space="preserve"> </w:t>
      </w:r>
      <w:r>
        <w:t xml:space="preserve">Kylie said, </w:t>
      </w:r>
      <w:r w:rsidR="4AC805F4">
        <w:t>“</w:t>
      </w:r>
      <w:r>
        <w:t>It would be very nice for government to extend to providers of high intensity support the dignity of working with us and enabling us to provide quality supports to people with complex support needs and to see them achieving great outcomes.</w:t>
      </w:r>
      <w:r w:rsidR="5127F96D">
        <w:t>”</w:t>
      </w:r>
    </w:p>
    <w:p w14:paraId="3DF94EAB" w14:textId="526E2A54" w:rsidR="05CA89EA" w:rsidRDefault="05CA89EA" w:rsidP="0097062A">
      <w:pPr>
        <w:pStyle w:val="Heading4"/>
      </w:pPr>
      <w:r w:rsidRPr="6AD0082D">
        <w:t>Major wins</w:t>
      </w:r>
    </w:p>
    <w:p w14:paraId="19186CC1" w14:textId="52EBC7D7" w:rsidR="05CA89EA" w:rsidRDefault="05CA89EA" w:rsidP="0097062A">
      <w:pPr>
        <w:rPr>
          <w:rFonts w:eastAsia="Aptos"/>
        </w:rPr>
      </w:pPr>
      <w:r>
        <w:t xml:space="preserve">Kylie spoke with pride about getting through the worst of the COVID-19 lockdowns while operating an essential service for people who simply cannot be locked inside </w:t>
      </w:r>
      <w:r>
        <w:lastRenderedPageBreak/>
        <w:t>all day.</w:t>
      </w:r>
      <w:r w:rsidR="20E77D08">
        <w:t xml:space="preserve"> </w:t>
      </w:r>
      <w:r>
        <w:t xml:space="preserve">Praise still comes in many shapes: </w:t>
      </w:r>
      <w:r w:rsidR="00E23FF1">
        <w:t>“</w:t>
      </w:r>
      <w:r>
        <w:t>Seeing people achieving their goals; hearing our support workers speaking about participants with such empathy and care; talking to families about positive changes they have witnessed within their family member who accesses Sharing Places</w:t>
      </w:r>
      <w:r w:rsidR="00E2132F">
        <w:t>;</w:t>
      </w:r>
      <w:r>
        <w:t xml:space="preserve"> and hearing what a difference we have made to their lives.</w:t>
      </w:r>
      <w:r w:rsidR="00E2132F">
        <w:t>”</w:t>
      </w:r>
    </w:p>
    <w:p w14:paraId="23F62C01" w14:textId="3D0C37CD" w:rsidR="05CA89EA" w:rsidRDefault="05CA89EA" w:rsidP="0097062A">
      <w:pPr>
        <w:pStyle w:val="Heading4"/>
      </w:pPr>
      <w:r w:rsidRPr="6AD0082D">
        <w:t>NDS membership</w:t>
      </w:r>
    </w:p>
    <w:p w14:paraId="6B1EFD85" w14:textId="5B22E88C" w:rsidR="05CA89EA" w:rsidRDefault="05CA89EA" w:rsidP="0097062A">
      <w:pPr>
        <w:rPr>
          <w:rFonts w:ascii="Aptos" w:eastAsia="Aptos" w:hAnsi="Aptos" w:cs="Aptos"/>
          <w:color w:val="000000" w:themeColor="text1"/>
        </w:rPr>
      </w:pPr>
      <w:r w:rsidRPr="644B5232">
        <w:rPr>
          <w:lang w:val="en-US"/>
        </w:rPr>
        <w:t xml:space="preserve">Kylie was very positive about the support NDS </w:t>
      </w:r>
      <w:r w:rsidRPr="6766CE18">
        <w:rPr>
          <w:lang w:val="en-US"/>
        </w:rPr>
        <w:t>offer</w:t>
      </w:r>
      <w:r w:rsidR="00E2132F" w:rsidRPr="6766CE18">
        <w:rPr>
          <w:lang w:val="en-US"/>
        </w:rPr>
        <w:t>s</w:t>
      </w:r>
      <w:r w:rsidRPr="644B5232">
        <w:rPr>
          <w:lang w:val="en-US"/>
        </w:rPr>
        <w:t xml:space="preserve"> — information about sector issues and emerging trends</w:t>
      </w:r>
      <w:r w:rsidR="005261D4" w:rsidRPr="6766CE18">
        <w:rPr>
          <w:lang w:val="en-US"/>
        </w:rPr>
        <w:t xml:space="preserve"> and</w:t>
      </w:r>
      <w:r w:rsidRPr="644B5232">
        <w:rPr>
          <w:lang w:val="en-US"/>
        </w:rPr>
        <w:t xml:space="preserve"> advocacy that can influence and lead to policy change</w:t>
      </w:r>
      <w:r w:rsidR="005261D4" w:rsidRPr="6766CE18">
        <w:rPr>
          <w:lang w:val="en-US"/>
        </w:rPr>
        <w:t>. She appreciates</w:t>
      </w:r>
      <w:r w:rsidRPr="644B5232">
        <w:rPr>
          <w:lang w:val="en-US"/>
        </w:rPr>
        <w:t xml:space="preserve"> the access NDS has to government ministers and influential people within the disability sector, the training for both support workers and managers, and the chance for Sharing Places and Kylie to contribute to NDS through her membership on the ACT Committee.</w:t>
      </w:r>
    </w:p>
    <w:p w14:paraId="34403E9A" w14:textId="5446758D" w:rsidR="05CA89EA" w:rsidRDefault="05CA89EA" w:rsidP="0097062A">
      <w:pPr>
        <w:pStyle w:val="Heading4"/>
      </w:pPr>
      <w:r w:rsidRPr="6AD0082D">
        <w:t>Jenny and Ashlee</w:t>
      </w:r>
    </w:p>
    <w:p w14:paraId="3B256DA8" w14:textId="77777777" w:rsidR="004316F3" w:rsidRDefault="05CA89EA" w:rsidP="0097062A">
      <w:r>
        <w:t>Canberra resident Ashlee lives at home with her mum, Jenny. Ashlee has a disability which can sometimes cause her behaviour to turn violent. When Ashlee's behaviour shifts from challenging to crisis mode, she has been known to break vehicle windscreens, pull TVs from wall mounts or even become non-responsive.</w:t>
      </w:r>
    </w:p>
    <w:p w14:paraId="68AE1FBB" w14:textId="1A0489C1" w:rsidR="05CA89EA" w:rsidRDefault="05CA89EA" w:rsidP="0097062A">
      <w:pPr>
        <w:rPr>
          <w:rFonts w:ascii="Aptos" w:eastAsia="Aptos" w:hAnsi="Aptos" w:cs="Aptos"/>
          <w:color w:val="000000" w:themeColor="text1"/>
        </w:rPr>
      </w:pPr>
      <w:r>
        <w:t xml:space="preserve">NDIS funding allows Jenny to engage support workers with specialised skills who ensure Ashlee and those around her are safe. But when </w:t>
      </w:r>
      <w:r w:rsidRPr="644B5232">
        <w:rPr>
          <w:lang w:val="en-GB"/>
        </w:rPr>
        <w:t xml:space="preserve">high intensity supports for complex behaviours were removed from the 2024–25 Price Limits and Pricing Arrangements on 28 June, with immediate effect, </w:t>
      </w:r>
      <w:r>
        <w:t>Jenny was concerned she would be left to manage the situation on her own.</w:t>
      </w:r>
    </w:p>
    <w:p w14:paraId="7A4EBEC7" w14:textId="7A556F8B" w:rsidR="05CA89EA" w:rsidRDefault="05CA89EA" w:rsidP="0097062A">
      <w:pPr>
        <w:rPr>
          <w:rFonts w:ascii="Aptos" w:eastAsia="Aptos" w:hAnsi="Aptos" w:cs="Aptos"/>
          <w:color w:val="000000" w:themeColor="text1"/>
        </w:rPr>
      </w:pPr>
      <w:r>
        <w:t xml:space="preserve">As a single mother, Jenny felt she would have to quit her job to look after Ashlee. She was worried about the impacts on Ashlee's mental health, saying, </w:t>
      </w:r>
      <w:r w:rsidR="44475B1E">
        <w:t>“</w:t>
      </w:r>
      <w:r>
        <w:t>no 26-year-old wants to be with their mum all the time</w:t>
      </w:r>
      <w:r w:rsidR="578A0552">
        <w:t>”</w:t>
      </w:r>
      <w:r>
        <w:t>.</w:t>
      </w:r>
    </w:p>
    <w:p w14:paraId="10773324" w14:textId="77777777" w:rsidR="004316F3" w:rsidRDefault="05CA89EA" w:rsidP="0097062A">
      <w:pPr>
        <w:rPr>
          <w:rFonts w:ascii="Aptos" w:eastAsia="Aptos" w:hAnsi="Aptos" w:cs="Aptos"/>
          <w:color w:val="000000" w:themeColor="text1"/>
        </w:rPr>
      </w:pPr>
      <w:r>
        <w:t xml:space="preserve">Following strong advocacy from NDS and provider peaks, the NDIA announced </w:t>
      </w:r>
      <w:r w:rsidRPr="644B5232">
        <w:rPr>
          <w:lang w:val="en-GB"/>
        </w:rPr>
        <w:t>that providers can claim intensive and complex behaviour supports at the same price limit as high intensity supports from 1 October. This was great news for families like Jenny and Ashlee.</w:t>
      </w:r>
    </w:p>
    <w:p w14:paraId="00650F35" w14:textId="1A963B8C" w:rsidR="004316F3" w:rsidRDefault="354452A5" w:rsidP="0097062A">
      <w:pPr>
        <w:pStyle w:val="Heading2"/>
      </w:pPr>
      <w:bookmarkStart w:id="72" w:name="_Toc180593629"/>
      <w:bookmarkStart w:id="73" w:name="_Toc181352002"/>
      <w:bookmarkStart w:id="74" w:name="_Toc184287166"/>
      <w:r w:rsidRPr="50E3E469">
        <w:lastRenderedPageBreak/>
        <w:t xml:space="preserve">Member story: </w:t>
      </w:r>
      <w:bookmarkEnd w:id="72"/>
      <w:bookmarkEnd w:id="73"/>
      <w:r w:rsidR="00924CF7">
        <w:t>supporting people with disability in a country Victoria town</w:t>
      </w:r>
      <w:bookmarkEnd w:id="74"/>
    </w:p>
    <w:p w14:paraId="3D08D5D6" w14:textId="25EC96E1" w:rsidR="354452A5" w:rsidRDefault="354452A5" w:rsidP="0097062A">
      <w:pPr>
        <w:pStyle w:val="Heading3"/>
      </w:pPr>
      <w:r w:rsidRPr="6AD0082D">
        <w:t>Kyeema Support Services, Portland Victoria</w:t>
      </w:r>
    </w:p>
    <w:p w14:paraId="3C8645AA" w14:textId="52A58A73" w:rsidR="354452A5" w:rsidRDefault="354452A5" w:rsidP="0097062A">
      <w:pPr>
        <w:pStyle w:val="Heading4"/>
      </w:pPr>
      <w:r w:rsidRPr="6766CE18">
        <w:t xml:space="preserve">Supporting </w:t>
      </w:r>
      <w:r w:rsidRPr="00924CF7">
        <w:t>people</w:t>
      </w:r>
      <w:r w:rsidRPr="6766CE18">
        <w:t xml:space="preserve"> with disability in a country Victorian town</w:t>
      </w:r>
    </w:p>
    <w:p w14:paraId="1DB9FAA1" w14:textId="77777777" w:rsidR="004316F3" w:rsidRDefault="354452A5" w:rsidP="0097062A">
      <w:r>
        <w:t>Operating out of Portland, the oldest European settlement in Victoria, Kyeema started in the 1960s as a tiny educational setting for a handful of children ineligible to attend mainstream schools.</w:t>
      </w:r>
    </w:p>
    <w:p w14:paraId="199E44DA" w14:textId="77777777" w:rsidR="004316F3" w:rsidRDefault="354452A5" w:rsidP="0097062A">
      <w:r>
        <w:t>The service grew in response to the unmet needs of people with disabilit</w:t>
      </w:r>
      <w:r w:rsidR="005A4D84">
        <w:t>y</w:t>
      </w:r>
      <w:r>
        <w:t xml:space="preserve"> in and around the small regional town, 360km west of Melbourne. Kyeema added day services, supported employment (three small, busy enterprises), individual community-based support, weekend and after-hours group activities for children and adults, special events outings, and a respite house.</w:t>
      </w:r>
    </w:p>
    <w:p w14:paraId="6C124ADC" w14:textId="77777777" w:rsidR="004316F3" w:rsidRDefault="354452A5" w:rsidP="0097062A">
      <w:r>
        <w:t>More recently, Kyeema added support coordination and specialist disability accommodation to its offerings and is now the only provider of supported employment in Portland.</w:t>
      </w:r>
    </w:p>
    <w:p w14:paraId="0FFAA895" w14:textId="67C42D7F" w:rsidR="354452A5" w:rsidRDefault="354452A5" w:rsidP="0097062A">
      <w:pPr>
        <w:rPr>
          <w:rFonts w:ascii="Aptos" w:eastAsia="Aptos" w:hAnsi="Aptos" w:cs="Aptos"/>
          <w:color w:val="000000" w:themeColor="text1"/>
        </w:rPr>
      </w:pPr>
      <w:r w:rsidRPr="0078010C">
        <w:rPr>
          <w:rStyle w:val="Heading4Char"/>
        </w:rPr>
        <w:t>Meet CEO Julie Amor and her team</w:t>
      </w:r>
      <w:r w:rsidRPr="0078010C">
        <w:rPr>
          <w:rStyle w:val="Heading4Char"/>
        </w:rPr>
        <w:br/>
      </w:r>
      <w:r>
        <w:t xml:space="preserve">We spoke with Kyeema CEO Julie </w:t>
      </w:r>
      <w:r w:rsidR="00EA5725">
        <w:t>Amor,</w:t>
      </w:r>
      <w:r>
        <w:t xml:space="preserve"> who spoke of the NDIS as a “well-intentioned and ambitious creature … something Australia should be proud of.</w:t>
      </w:r>
      <w:r w:rsidR="00EA5725">
        <w:t>”</w:t>
      </w:r>
    </w:p>
    <w:p w14:paraId="5A851E22" w14:textId="77777777" w:rsidR="004316F3" w:rsidRDefault="354452A5" w:rsidP="0097062A">
      <w:r>
        <w:t xml:space="preserve">Reflecting on the constant change every year, the challenges of the pandemic and fear about survival due to pricing, Julie acknowledged managing </w:t>
      </w:r>
      <w:proofErr w:type="gramStart"/>
      <w:r>
        <w:t>an</w:t>
      </w:r>
      <w:proofErr w:type="gramEnd"/>
      <w:r>
        <w:t xml:space="preserve"> NDIS service can be exhausting.</w:t>
      </w:r>
    </w:p>
    <w:p w14:paraId="79C285FE" w14:textId="14CEBF14" w:rsidR="354452A5" w:rsidRDefault="354452A5" w:rsidP="0097062A">
      <w:pPr>
        <w:rPr>
          <w:rFonts w:ascii="Aptos" w:eastAsia="Aptos" w:hAnsi="Aptos" w:cs="Aptos"/>
          <w:color w:val="000000" w:themeColor="text1"/>
        </w:rPr>
      </w:pPr>
      <w:r>
        <w:t>Julie speaks warmly of her team and their managers, lauding their strong values and can-do attitude under pressure</w:t>
      </w:r>
      <w:r w:rsidR="00E43913">
        <w:t>,</w:t>
      </w:r>
      <w:r>
        <w:t xml:space="preserve"> as they shield staff from the operational angst caused by budget juggling. The low staff turnover and positive staff spirit translate to great service delivery.</w:t>
      </w:r>
    </w:p>
    <w:p w14:paraId="4E28D786" w14:textId="6CD83A26" w:rsidR="354452A5" w:rsidRDefault="354452A5" w:rsidP="0097062A">
      <w:pPr>
        <w:rPr>
          <w:rFonts w:ascii="Aptos" w:eastAsia="Aptos" w:hAnsi="Aptos" w:cs="Aptos"/>
          <w:color w:val="000000" w:themeColor="text1"/>
        </w:rPr>
      </w:pPr>
      <w:r>
        <w:t xml:space="preserve">As the largest disability provider in Portland, Kyeema can meet nearly all requests for support. Occasionally, the Kyeema team is asked to support participants whose needs surpass what they offer. </w:t>
      </w:r>
      <w:r w:rsidR="6B393CC4">
        <w:t>When this happens, t</w:t>
      </w:r>
      <w:r>
        <w:t xml:space="preserve">hey collaborate with other </w:t>
      </w:r>
      <w:r>
        <w:lastRenderedPageBreak/>
        <w:t>providers, acknowledging that some participants’ support needs are better met by other providers.</w:t>
      </w:r>
    </w:p>
    <w:p w14:paraId="53EF5050" w14:textId="59343A70" w:rsidR="354452A5" w:rsidRDefault="354452A5" w:rsidP="0097062A">
      <w:pPr>
        <w:pStyle w:val="Heading4"/>
      </w:pPr>
      <w:r w:rsidRPr="6766CE18">
        <w:t>Key challenges</w:t>
      </w:r>
    </w:p>
    <w:p w14:paraId="56F038CF" w14:textId="77777777" w:rsidR="004316F3" w:rsidRDefault="354452A5" w:rsidP="0097062A">
      <w:r>
        <w:t>Julie told us that with five years of inadequate price rises, support coordination has been doing it hard. Also, Kyeema’s direct support team leaders</w:t>
      </w:r>
      <w:r w:rsidR="00AA4E77">
        <w:t>, who are</w:t>
      </w:r>
      <w:r>
        <w:t xml:space="preserve"> critical to quality, participant safety and connection</w:t>
      </w:r>
      <w:r w:rsidR="00774DF9">
        <w:t>,</w:t>
      </w:r>
      <w:r>
        <w:t xml:space="preserve"> have never been fully funded by operational overheads, with the shortfall coming from the provider’s surplus.</w:t>
      </w:r>
    </w:p>
    <w:p w14:paraId="00F85BA5" w14:textId="3FE1DD36" w:rsidR="354452A5" w:rsidRDefault="354452A5" w:rsidP="0097062A">
      <w:pPr>
        <w:rPr>
          <w:rFonts w:ascii="Aptos" w:eastAsia="Aptos" w:hAnsi="Aptos" w:cs="Aptos"/>
          <w:color w:val="000000" w:themeColor="text1"/>
        </w:rPr>
      </w:pPr>
      <w:r>
        <w:t xml:space="preserve">Julie observed that with no checks and balances for unregistered providers, the NDIA has created an uneven playing field. While the NDIS allows greater freedom of choice for participants, the Kyeema team aims to help participants </w:t>
      </w:r>
      <w:r w:rsidR="7130C6EB">
        <w:t xml:space="preserve">stay </w:t>
      </w:r>
      <w:r>
        <w:t xml:space="preserve">within their allocated funding and is sometimes disappointed by providers who don’t seem to be aware of the effect of one-to-one </w:t>
      </w:r>
      <w:r w:rsidR="00EA5725">
        <w:t>support</w:t>
      </w:r>
      <w:r>
        <w:t xml:space="preserve"> at weekends. The associated hourly penalty eats into participants’ budgets, leading to reduced overall support hours.</w:t>
      </w:r>
    </w:p>
    <w:p w14:paraId="10C9B29A" w14:textId="51FE9A70" w:rsidR="354452A5" w:rsidRPr="0029568B" w:rsidRDefault="354452A5" w:rsidP="0097062A">
      <w:r>
        <w:t>An associated concern is that the PACE system makes available funds invisible to providers of core supports. There is no extra in participants’ budgets to absorb change of circumstances, and Kyeema has found the NDIA increasingly unwilling to cushion participant overspends</w:t>
      </w:r>
      <w:r w:rsidR="59EEB714">
        <w:t xml:space="preserve"> when support needs change.</w:t>
      </w:r>
    </w:p>
    <w:p w14:paraId="5FD8BA24" w14:textId="77777777" w:rsidR="004316F3" w:rsidRDefault="354452A5" w:rsidP="0097062A">
      <w:r>
        <w:t>The NDIS’s temporary transformation payments of five years ago have disappeared, forcing the organisation to search for even greater efficiencies. One challenge of being in a regional area is the lack of other services</w:t>
      </w:r>
      <w:r w:rsidR="005642C2">
        <w:t>,</w:t>
      </w:r>
      <w:r>
        <w:t xml:space="preserve"> such as critical psychology support, tenancy, financial advice, or free legal help. Kyeema frequently assists participants through crises that, in a city, could be referred to other professionals.</w:t>
      </w:r>
    </w:p>
    <w:p w14:paraId="609ED561" w14:textId="58C02F05" w:rsidR="354452A5" w:rsidRDefault="354452A5" w:rsidP="00BB7E46">
      <w:pPr>
        <w:pStyle w:val="Quote"/>
      </w:pPr>
      <w:r w:rsidRPr="142680F6">
        <w:t>“We cannot wait for an independent pricing mechanism</w:t>
      </w:r>
      <w:r w:rsidR="00EA5725">
        <w:t>.</w:t>
      </w:r>
      <w:r w:rsidRPr="142680F6">
        <w:t>”</w:t>
      </w:r>
    </w:p>
    <w:p w14:paraId="7DB11D41" w14:textId="2AC90B1F" w:rsidR="354452A5" w:rsidRDefault="354452A5" w:rsidP="0097062A">
      <w:pPr>
        <w:rPr>
          <w:rFonts w:ascii="Aptos" w:eastAsia="Aptos" w:hAnsi="Aptos" w:cs="Aptos"/>
          <w:color w:val="000000" w:themeColor="text1"/>
        </w:rPr>
      </w:pPr>
      <w:r>
        <w:t>Julie would like to see an independent pricing mechanism within the next year and more timely reviews of funding for participants who have had a change of situation</w:t>
      </w:r>
      <w:r w:rsidR="007424E4">
        <w:t>. Then</w:t>
      </w:r>
      <w:r w:rsidR="0095067C">
        <w:t>,</w:t>
      </w:r>
      <w:r>
        <w:t xml:space="preserve"> providers are not left wondering if they will be paid for continuing the necessary supports after funds have run out.</w:t>
      </w:r>
    </w:p>
    <w:p w14:paraId="05777A52" w14:textId="775C76A3" w:rsidR="354452A5" w:rsidRDefault="354452A5" w:rsidP="0097062A">
      <w:pPr>
        <w:rPr>
          <w:rFonts w:ascii="Aptos" w:eastAsia="Aptos" w:hAnsi="Aptos" w:cs="Aptos"/>
          <w:color w:val="000000" w:themeColor="text1"/>
        </w:rPr>
      </w:pPr>
      <w:r>
        <w:t>Julie also welcomes the move to more equity across the sector</w:t>
      </w:r>
      <w:r w:rsidR="0050200E">
        <w:t>,</w:t>
      </w:r>
      <w:r>
        <w:t xml:space="preserve"> where all providers require registration and are responsible for meeting quality standards.</w:t>
      </w:r>
    </w:p>
    <w:p w14:paraId="744D40BD" w14:textId="1FBC3DC3" w:rsidR="354452A5" w:rsidRDefault="354452A5" w:rsidP="0097062A">
      <w:pPr>
        <w:pStyle w:val="Heading4"/>
      </w:pPr>
      <w:r w:rsidRPr="6766CE18">
        <w:lastRenderedPageBreak/>
        <w:t>NDS membership</w:t>
      </w:r>
    </w:p>
    <w:p w14:paraId="3146991A" w14:textId="77777777" w:rsidR="004316F3" w:rsidRDefault="354452A5" w:rsidP="0097062A">
      <w:r>
        <w:t>Julie feels NDS’s strong advocacy</w:t>
      </w:r>
      <w:r w:rsidR="004773BD">
        <w:t>,</w:t>
      </w:r>
      <w:r>
        <w:t xml:space="preserve"> based on the deep knowledge gained from the sector</w:t>
      </w:r>
      <w:r w:rsidR="004773BD">
        <w:t>,</w:t>
      </w:r>
      <w:r>
        <w:t xml:space="preserve"> has helped the voice of participants and providers to be heard by the NDIA. Information from NDS conferences, meetings and publications </w:t>
      </w:r>
      <w:r w:rsidR="00EA5725">
        <w:t>has</w:t>
      </w:r>
      <w:r>
        <w:t xml:space="preserve"> helped Kyeema enormously over the years.</w:t>
      </w:r>
    </w:p>
    <w:p w14:paraId="604B1894" w14:textId="1869E36D" w:rsidR="354452A5" w:rsidRPr="00722D99" w:rsidRDefault="354452A5" w:rsidP="0097062A">
      <w:pPr>
        <w:pStyle w:val="Quote"/>
      </w:pPr>
      <w:r w:rsidRPr="00722D99">
        <w:t>“Seeing good outcomes for those using our services is the best antidote to fatigue.”</w:t>
      </w:r>
    </w:p>
    <w:p w14:paraId="66E096B6" w14:textId="4C1B059C" w:rsidR="354452A5" w:rsidRDefault="2368E7A2" w:rsidP="0097062A">
      <w:pPr>
        <w:rPr>
          <w:rFonts w:ascii="Aptos" w:eastAsia="Aptos" w:hAnsi="Aptos" w:cs="Aptos"/>
          <w:color w:val="000000" w:themeColor="text1"/>
        </w:rPr>
      </w:pPr>
      <w:r>
        <w:t xml:space="preserve">Julie was candid yet quietly optimistic in her response to our questions. Even in the face of constant reform, Julie epitomised the glass-half-full leader. She still loves the NDIS, and </w:t>
      </w:r>
      <w:r w:rsidR="27A8711D">
        <w:t>“</w:t>
      </w:r>
      <w:r>
        <w:t>the really fantastic support that the NDIS so bravely wants to be able to do</w:t>
      </w:r>
      <w:r w:rsidR="1888CA49">
        <w:t>”</w:t>
      </w:r>
      <w:r>
        <w:t xml:space="preserve">, characterising the scheme as </w:t>
      </w:r>
      <w:r w:rsidR="58FC0A31">
        <w:t>“</w:t>
      </w:r>
      <w:r>
        <w:t>still learning its job</w:t>
      </w:r>
      <w:r w:rsidR="2570187A">
        <w:t>”</w:t>
      </w:r>
      <w:r>
        <w:t>.</w:t>
      </w:r>
    </w:p>
    <w:p w14:paraId="686C9BD9" w14:textId="36149F88" w:rsidR="354452A5" w:rsidRDefault="354452A5" w:rsidP="0097062A">
      <w:pPr>
        <w:pStyle w:val="Heading4"/>
      </w:pPr>
      <w:r w:rsidRPr="6766CE18">
        <w:t>Jenny Sweeney’s story</w:t>
      </w:r>
    </w:p>
    <w:p w14:paraId="5FC84A46" w14:textId="77777777" w:rsidR="004316F3" w:rsidRDefault="354452A5" w:rsidP="0097062A">
      <w:r>
        <w:t>Jenny was keen to take a moment in the spotlight. She is involved with multiple areas of Kyeema: support coordination, supported employment, short</w:t>
      </w:r>
      <w:r w:rsidR="0004061C">
        <w:t>-</w:t>
      </w:r>
      <w:r>
        <w:t>term accommodation and social and community activities.</w:t>
      </w:r>
    </w:p>
    <w:p w14:paraId="743EA2A9" w14:textId="7C6C3F60" w:rsidR="354452A5" w:rsidRPr="00ED2E59" w:rsidRDefault="0053134F" w:rsidP="00ED2E59">
      <w:pPr>
        <w:pStyle w:val="Quote"/>
      </w:pPr>
      <w:r w:rsidRPr="00ED2E59">
        <w:t>“</w:t>
      </w:r>
      <w:r w:rsidR="354452A5" w:rsidRPr="00ED2E59">
        <w:t>I have been at Kyeema for more than 30 years, since I was 20. I have worked at Windward Industries all that time. It’s out at Alcoa (the aluminium smelter).</w:t>
      </w:r>
    </w:p>
    <w:p w14:paraId="32266053" w14:textId="77777777" w:rsidR="004316F3" w:rsidRPr="00ED2E59" w:rsidRDefault="0053134F" w:rsidP="00ED2E59">
      <w:pPr>
        <w:pStyle w:val="Quote"/>
      </w:pPr>
      <w:r w:rsidRPr="00ED2E59">
        <w:t>“</w:t>
      </w:r>
      <w:r w:rsidR="354452A5" w:rsidRPr="00ED2E59">
        <w:t>I like meeting different people at work. Coming to Windward makes me feel happy. I work three days a week. We start the day with washing helmets for the people on site and I like to fill the sinks ready for others.</w:t>
      </w:r>
    </w:p>
    <w:p w14:paraId="788F188B" w14:textId="21D637C6" w:rsidR="354452A5" w:rsidRPr="00ED2E59" w:rsidRDefault="0053134F" w:rsidP="00ED2E59">
      <w:pPr>
        <w:pStyle w:val="Quote"/>
      </w:pPr>
      <w:r w:rsidRPr="00ED2E59">
        <w:t>“</w:t>
      </w:r>
      <w:r w:rsidR="354452A5" w:rsidRPr="00ED2E59">
        <w:t>Every Thursday I go and pick up the visitors’ boots from Plant Protection, clean the boots and return to the correct spots on the shelf.</w:t>
      </w:r>
    </w:p>
    <w:p w14:paraId="7B1C2F64" w14:textId="0E73BE64" w:rsidR="354452A5" w:rsidRPr="00ED2E59" w:rsidRDefault="0053134F" w:rsidP="00ED2E59">
      <w:pPr>
        <w:pStyle w:val="Quote"/>
      </w:pPr>
      <w:r w:rsidRPr="00ED2E59">
        <w:t>“</w:t>
      </w:r>
      <w:r w:rsidR="354452A5" w:rsidRPr="00ED2E59">
        <w:t>Other things I do are Adult Breakaway</w:t>
      </w:r>
      <w:r w:rsidR="00092221" w:rsidRPr="00ED2E59">
        <w:t>,</w:t>
      </w:r>
      <w:r w:rsidR="354452A5" w:rsidRPr="00ED2E59">
        <w:t xml:space="preserve"> where we go out different places with the Kyeema group on Saturdays. And Ladybugs on Wednesday nights sometimes.</w:t>
      </w:r>
    </w:p>
    <w:p w14:paraId="0A02FDE5" w14:textId="77777777" w:rsidR="004316F3" w:rsidRPr="00ED2E59" w:rsidRDefault="0053134F" w:rsidP="00ED2E59">
      <w:pPr>
        <w:pStyle w:val="Quote"/>
      </w:pPr>
      <w:r w:rsidRPr="00ED2E59">
        <w:t>“</w:t>
      </w:r>
      <w:r w:rsidR="354452A5" w:rsidRPr="00ED2E59">
        <w:t>And I go to Tri State Games every year with the Kyeema Kangaroos. I’ve got Tri State Games in November, running, walking, bean bags and indoor bowling.</w:t>
      </w:r>
    </w:p>
    <w:p w14:paraId="01C4F6E9" w14:textId="054A2F3E" w:rsidR="354452A5" w:rsidRPr="00ED2E59" w:rsidRDefault="0053134F" w:rsidP="00ED2E59">
      <w:pPr>
        <w:pStyle w:val="Quote"/>
      </w:pPr>
      <w:r w:rsidRPr="00ED2E59">
        <w:t>“</w:t>
      </w:r>
      <w:r w:rsidR="354452A5" w:rsidRPr="00ED2E59">
        <w:t>I went to the VALID conference this year. I want to go again next year. It’s on my bucket list.</w:t>
      </w:r>
    </w:p>
    <w:p w14:paraId="5EBBC77E" w14:textId="37E89CB3" w:rsidR="354452A5" w:rsidRPr="00ED2E59" w:rsidRDefault="0053134F" w:rsidP="00ED2E59">
      <w:pPr>
        <w:pStyle w:val="Quote"/>
      </w:pPr>
      <w:r w:rsidRPr="00ED2E59">
        <w:lastRenderedPageBreak/>
        <w:t>“</w:t>
      </w:r>
      <w:r w:rsidR="354452A5" w:rsidRPr="00ED2E59">
        <w:t>Kyeema is helping me to find a home as I’ve been staying at the respite house since last year.</w:t>
      </w:r>
    </w:p>
    <w:p w14:paraId="27DF5366" w14:textId="77777777" w:rsidR="004316F3" w:rsidRPr="00ED2E59" w:rsidRDefault="0053134F" w:rsidP="00ED2E59">
      <w:pPr>
        <w:pStyle w:val="Quote"/>
      </w:pPr>
      <w:r w:rsidRPr="00ED2E59">
        <w:t>“</w:t>
      </w:r>
      <w:r w:rsidR="354452A5" w:rsidRPr="00ED2E59">
        <w:t>I do day activities Wednesday and Friday. My favourite thing is I go out to Neville’s farm amongst the little lambies putting them into the next paddock.</w:t>
      </w:r>
      <w:r w:rsidRPr="00ED2E59">
        <w:t>”</w:t>
      </w:r>
    </w:p>
    <w:p w14:paraId="22CD27D2" w14:textId="6CF5AC49" w:rsidR="030AA18E" w:rsidRPr="00924CF7" w:rsidRDefault="030AA18E" w:rsidP="0097062A">
      <w:pPr>
        <w:pStyle w:val="Heading2"/>
      </w:pPr>
      <w:bookmarkStart w:id="75" w:name="_Toc180593630"/>
      <w:bookmarkStart w:id="76" w:name="_Toc181352003"/>
      <w:bookmarkStart w:id="77" w:name="_Toc184287167"/>
      <w:r w:rsidRPr="00924CF7">
        <w:lastRenderedPageBreak/>
        <w:t>The state of quality and safeguarding</w:t>
      </w:r>
      <w:bookmarkEnd w:id="75"/>
      <w:bookmarkEnd w:id="76"/>
      <w:bookmarkEnd w:id="77"/>
    </w:p>
    <w:p w14:paraId="4CA66BC1" w14:textId="77777777" w:rsidR="004316F3" w:rsidRDefault="030AA18E" w:rsidP="0097062A">
      <w:r>
        <w:t>Within the varied contexts of uncertain disability reform, the day-to-day quality work of resilient providers continued.</w:t>
      </w:r>
    </w:p>
    <w:p w14:paraId="2FEAF3B0" w14:textId="2FD2FFA7" w:rsidR="030AA18E" w:rsidRDefault="030AA18E" w:rsidP="0097062A">
      <w:r>
        <w:t>Providers pushed on, finding ways to implement quality improvement.</w:t>
      </w:r>
      <w:r w:rsidRPr="644B5232">
        <w:t xml:space="preserve"> They took on projects to reduce restrictive practices</w:t>
      </w:r>
      <w:r>
        <w:t xml:space="preserve">, co-designed approaches to understand quality, reviewed medication management processes, upskilled staff in complaints management and </w:t>
      </w:r>
      <w:r w:rsidR="00584295">
        <w:t xml:space="preserve">set up better </w:t>
      </w:r>
      <w:r>
        <w:t xml:space="preserve">governance frameworks. Across Australia, providers also looked for ways to embed participant voices in the changes they undertook. And they appealed to peers to ensure </w:t>
      </w:r>
      <w:r w:rsidR="00DE082C">
        <w:t xml:space="preserve">that </w:t>
      </w:r>
      <w:r>
        <w:t>safe quality services for people with disability remained the number one priority for organisations, despite fiscal and workforce challenges.</w:t>
      </w:r>
    </w:p>
    <w:p w14:paraId="3FB1F8A0" w14:textId="329DAC69" w:rsidR="030AA18E" w:rsidRDefault="030AA18E" w:rsidP="0097062A">
      <w:r>
        <w:t xml:space="preserve">It has not been easy work and, as we transition </w:t>
      </w:r>
      <w:r w:rsidR="00EA5725">
        <w:t>into</w:t>
      </w:r>
      <w:r>
        <w:t xml:space="preserve"> new sector reforms, providers </w:t>
      </w:r>
      <w:r w:rsidR="00A617D8">
        <w:t xml:space="preserve">should have </w:t>
      </w:r>
      <w:r>
        <w:t>the right resources and support to deliver on shared goals to uphold and support the human rights of people with disability.</w:t>
      </w:r>
    </w:p>
    <w:p w14:paraId="0E75A89B" w14:textId="77777777" w:rsidR="004316F3" w:rsidRDefault="030AA18E" w:rsidP="0097062A">
      <w:pPr>
        <w:pStyle w:val="Heading3"/>
      </w:pPr>
      <w:r>
        <w:t>Survey results</w:t>
      </w:r>
    </w:p>
    <w:p w14:paraId="5F4449DB" w14:textId="34FAAE52" w:rsidR="004316F3" w:rsidRDefault="030AA18E" w:rsidP="0097062A">
      <w:pPr>
        <w:rPr>
          <w:lang w:val="en-US"/>
        </w:rPr>
      </w:pPr>
      <w:r w:rsidRPr="28DCED7E">
        <w:rPr>
          <w:lang w:val="en-US"/>
        </w:rPr>
        <w:t>While more positive than perceptions of the working relationship with the NDIA, sixty per cent of respondents did not feel that the NDIS Quality and Safeguards Commission</w:t>
      </w:r>
      <w:r w:rsidR="006832B8" w:rsidRPr="28DCED7E">
        <w:rPr>
          <w:lang w:val="en-US"/>
        </w:rPr>
        <w:t xml:space="preserve"> (NDIS Commission)</w:t>
      </w:r>
      <w:r w:rsidRPr="28DCED7E">
        <w:rPr>
          <w:lang w:val="en-US"/>
        </w:rPr>
        <w:t xml:space="preserve"> is working well with providers</w:t>
      </w:r>
      <w:r w:rsidR="00031852" w:rsidRPr="007B3F2D">
        <w:t xml:space="preserve"> </w:t>
      </w:r>
      <w:r w:rsidR="00031852">
        <w:t xml:space="preserve">(see </w:t>
      </w:r>
      <w:r w:rsidR="00051F9B" w:rsidRPr="00051F9B">
        <w:fldChar w:fldCharType="begin"/>
      </w:r>
      <w:r w:rsidR="00051F9B" w:rsidRPr="00051F9B">
        <w:instrText xml:space="preserve"> REF _Ref183700406 \h  \* MERGEFORMAT </w:instrText>
      </w:r>
      <w:r w:rsidR="00051F9B" w:rsidRPr="00051F9B">
        <w:fldChar w:fldCharType="separate"/>
      </w:r>
      <w:r w:rsidR="00051F9B" w:rsidRPr="00051F9B">
        <w:t>Table </w:t>
      </w:r>
      <w:r w:rsidR="00051F9B" w:rsidRPr="00051F9B">
        <w:rPr>
          <w:noProof/>
        </w:rPr>
        <w:t>22</w:t>
      </w:r>
      <w:r w:rsidR="00051F9B" w:rsidRPr="00051F9B">
        <w:fldChar w:fldCharType="end"/>
      </w:r>
      <w:r w:rsidR="00031852" w:rsidRPr="004D2CFF">
        <w:t>)</w:t>
      </w:r>
      <w:r w:rsidRPr="28DCED7E">
        <w:rPr>
          <w:lang w:val="en-US"/>
        </w:rPr>
        <w:t>.</w:t>
      </w:r>
    </w:p>
    <w:p w14:paraId="7C3F7ACE" w14:textId="6B352D62" w:rsidR="030AA18E" w:rsidRDefault="009D342F" w:rsidP="005366DB">
      <w:pPr>
        <w:pStyle w:val="Caption"/>
        <w:rPr>
          <w:rFonts w:eastAsia="Arial" w:cs="Arial"/>
          <w:color w:val="000000" w:themeColor="text1"/>
          <w:lang w:val="en-US"/>
        </w:rPr>
      </w:pPr>
      <w:bookmarkStart w:id="78" w:name="_Ref183700406"/>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22</w:t>
      </w:r>
      <w:r w:rsidR="0007250B" w:rsidRPr="001A77F7">
        <w:rPr>
          <w:b/>
          <w:bCs/>
          <w:noProof/>
        </w:rPr>
        <w:fldChar w:fldCharType="end"/>
      </w:r>
      <w:bookmarkEnd w:id="78"/>
      <w:r w:rsidR="001B1052" w:rsidRPr="00F4639A">
        <w:t xml:space="preserve"> </w:t>
      </w:r>
      <w:r w:rsidR="001B1052" w:rsidRPr="009F202C">
        <w:t>The NDIS Quality and Safeguards Commission is working well with providers</w:t>
      </w:r>
    </w:p>
    <w:tbl>
      <w:tblPr>
        <w:tblW w:w="8926" w:type="dxa"/>
        <w:tblLook w:val="04A0" w:firstRow="1" w:lastRow="0" w:firstColumn="1" w:lastColumn="0" w:noHBand="0" w:noVBand="1"/>
        <w:tblCaption w:val="Table 22 The NDIS Quality and Safeguards Commission is working well with providers"/>
        <w:tblDescription w:val="A table showing the percentage of respondents who agree or disagree with the statement that the NDIS Quality and Safeguards Commission is working well with providers. Trend data from 2019 to 2024."/>
      </w:tblPr>
      <w:tblGrid>
        <w:gridCol w:w="988"/>
        <w:gridCol w:w="2409"/>
        <w:gridCol w:w="1985"/>
        <w:gridCol w:w="1984"/>
        <w:gridCol w:w="1560"/>
      </w:tblGrid>
      <w:tr w:rsidR="009F21E1" w:rsidRPr="009F21E1" w14:paraId="6C48D6DA" w14:textId="77777777" w:rsidTr="009F21E1">
        <w:trPr>
          <w:trHeight w:val="1227"/>
          <w:tblHeader/>
        </w:trPr>
        <w:tc>
          <w:tcPr>
            <w:tcW w:w="9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E792AA" w14:textId="77777777" w:rsidR="00F227AD" w:rsidRPr="009F21E1" w:rsidRDefault="00F227AD" w:rsidP="009F21E1">
            <w:pPr>
              <w:rPr>
                <w:b/>
                <w:bCs/>
                <w:lang w:eastAsia="en-AU"/>
              </w:rPr>
            </w:pPr>
            <w:bookmarkStart w:id="79" w:name="Title_Table_22"/>
            <w:bookmarkEnd w:id="79"/>
            <w:r w:rsidRPr="009F21E1">
              <w:rPr>
                <w:b/>
                <w:bCs/>
                <w:lang w:eastAsia="en-AU"/>
              </w:rPr>
              <w:t>Year</w:t>
            </w:r>
          </w:p>
        </w:tc>
        <w:tc>
          <w:tcPr>
            <w:tcW w:w="2409" w:type="dxa"/>
            <w:tcBorders>
              <w:top w:val="single" w:sz="4" w:space="0" w:color="auto"/>
              <w:left w:val="nil"/>
              <w:bottom w:val="single" w:sz="4" w:space="0" w:color="auto"/>
              <w:right w:val="single" w:sz="4" w:space="0" w:color="auto"/>
            </w:tcBorders>
            <w:shd w:val="clear" w:color="000000" w:fill="D9D9D9"/>
            <w:vAlign w:val="center"/>
            <w:hideMark/>
          </w:tcPr>
          <w:p w14:paraId="14F2859D" w14:textId="77777777" w:rsidR="00F227AD" w:rsidRPr="009F21E1" w:rsidRDefault="00F227AD" w:rsidP="009F21E1">
            <w:pPr>
              <w:rPr>
                <w:b/>
                <w:bCs/>
                <w:lang w:eastAsia="en-AU"/>
              </w:rPr>
            </w:pPr>
            <w:r w:rsidRPr="009F21E1">
              <w:rPr>
                <w:b/>
                <w:bCs/>
                <w:lang w:eastAsia="en-AU"/>
              </w:rPr>
              <w:t>Disagree or strongly disagree</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6FC8345" w14:textId="77777777" w:rsidR="00F227AD" w:rsidRPr="009F21E1" w:rsidRDefault="00F227AD" w:rsidP="009F21E1">
            <w:pPr>
              <w:rPr>
                <w:b/>
                <w:bCs/>
                <w:lang w:eastAsia="en-AU"/>
              </w:rPr>
            </w:pPr>
            <w:r w:rsidRPr="009F21E1">
              <w:rPr>
                <w:b/>
                <w:bCs/>
                <w:lang w:eastAsia="en-AU"/>
              </w:rPr>
              <w:t>Neither agree nor disagree</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1044C07E" w14:textId="77777777" w:rsidR="00F227AD" w:rsidRPr="009F21E1" w:rsidRDefault="00F227AD" w:rsidP="009F21E1">
            <w:pPr>
              <w:rPr>
                <w:b/>
                <w:bCs/>
                <w:lang w:eastAsia="en-AU"/>
              </w:rPr>
            </w:pPr>
            <w:r w:rsidRPr="009F21E1">
              <w:rPr>
                <w:b/>
                <w:bCs/>
                <w:lang w:eastAsia="en-AU"/>
              </w:rPr>
              <w:t>Agree or strongly agree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38994DC2" w14:textId="77777777" w:rsidR="00F227AD" w:rsidRPr="009F21E1" w:rsidRDefault="00F227AD" w:rsidP="009F21E1">
            <w:pPr>
              <w:rPr>
                <w:b/>
                <w:bCs/>
                <w:lang w:eastAsia="en-AU"/>
              </w:rPr>
            </w:pPr>
            <w:r w:rsidRPr="009F21E1">
              <w:rPr>
                <w:b/>
                <w:bCs/>
                <w:lang w:eastAsia="en-AU"/>
              </w:rPr>
              <w:t>Don't know</w:t>
            </w:r>
          </w:p>
        </w:tc>
      </w:tr>
      <w:tr w:rsidR="00F227AD" w:rsidRPr="000868A6" w14:paraId="645436B6"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1675F0F" w14:textId="77777777" w:rsidR="00F227AD" w:rsidRPr="000868A6" w:rsidRDefault="00F227AD" w:rsidP="00F91A85">
            <w:pPr>
              <w:rPr>
                <w:lang w:eastAsia="en-AU"/>
              </w:rPr>
            </w:pPr>
            <w:r w:rsidRPr="000868A6">
              <w:rPr>
                <w:lang w:eastAsia="en-AU"/>
              </w:rPr>
              <w:t>2019</w:t>
            </w:r>
          </w:p>
        </w:tc>
        <w:tc>
          <w:tcPr>
            <w:tcW w:w="2409" w:type="dxa"/>
            <w:tcBorders>
              <w:top w:val="nil"/>
              <w:left w:val="nil"/>
              <w:bottom w:val="single" w:sz="4" w:space="0" w:color="auto"/>
              <w:right w:val="single" w:sz="4" w:space="0" w:color="auto"/>
            </w:tcBorders>
            <w:shd w:val="clear" w:color="auto" w:fill="auto"/>
            <w:noWrap/>
            <w:vAlign w:val="center"/>
            <w:hideMark/>
          </w:tcPr>
          <w:p w14:paraId="35B691A6" w14:textId="77777777" w:rsidR="00F227AD" w:rsidRPr="000868A6" w:rsidRDefault="00F227AD" w:rsidP="00F91A85">
            <w:pPr>
              <w:rPr>
                <w:lang w:eastAsia="en-AU"/>
              </w:rPr>
            </w:pPr>
            <w:r w:rsidRPr="000868A6">
              <w:rPr>
                <w:lang w:eastAsia="en-AU"/>
              </w:rPr>
              <w:t>30</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37FE66EB" w14:textId="77777777" w:rsidR="00F227AD" w:rsidRPr="000868A6" w:rsidRDefault="00F227AD" w:rsidP="00F91A85">
            <w:pPr>
              <w:rPr>
                <w:lang w:eastAsia="en-AU"/>
              </w:rPr>
            </w:pPr>
            <w:r w:rsidRPr="000868A6">
              <w:rPr>
                <w:lang w:eastAsia="en-AU"/>
              </w:rPr>
              <w:t>35</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35BF2881" w14:textId="77777777" w:rsidR="00F227AD" w:rsidRPr="000868A6" w:rsidRDefault="00F227AD" w:rsidP="00F91A85">
            <w:pPr>
              <w:rPr>
                <w:lang w:eastAsia="en-AU"/>
              </w:rPr>
            </w:pPr>
            <w:r w:rsidRPr="000868A6">
              <w:rPr>
                <w:lang w:eastAsia="en-AU"/>
              </w:rPr>
              <w:t>27</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hideMark/>
          </w:tcPr>
          <w:p w14:paraId="01819C42" w14:textId="77777777" w:rsidR="00F227AD" w:rsidRPr="000868A6" w:rsidRDefault="00F227AD" w:rsidP="00F91A85">
            <w:pPr>
              <w:rPr>
                <w:lang w:eastAsia="en-AU"/>
              </w:rPr>
            </w:pPr>
            <w:r w:rsidRPr="000868A6">
              <w:rPr>
                <w:lang w:eastAsia="en-AU"/>
              </w:rPr>
              <w:t>8</w:t>
            </w:r>
            <w:r>
              <w:rPr>
                <w:lang w:eastAsia="en-AU"/>
              </w:rPr>
              <w:t xml:space="preserve"> per cent</w:t>
            </w:r>
          </w:p>
        </w:tc>
      </w:tr>
      <w:tr w:rsidR="00F227AD" w:rsidRPr="000868A6" w14:paraId="247EBB97"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DC3E0CD" w14:textId="77777777" w:rsidR="00F227AD" w:rsidRPr="000868A6" w:rsidRDefault="00F227AD" w:rsidP="00F91A85">
            <w:pPr>
              <w:rPr>
                <w:lang w:eastAsia="en-AU"/>
              </w:rPr>
            </w:pPr>
            <w:r w:rsidRPr="000868A6">
              <w:rPr>
                <w:lang w:eastAsia="en-AU"/>
              </w:rPr>
              <w:t>2020</w:t>
            </w:r>
          </w:p>
        </w:tc>
        <w:tc>
          <w:tcPr>
            <w:tcW w:w="2409" w:type="dxa"/>
            <w:tcBorders>
              <w:top w:val="nil"/>
              <w:left w:val="nil"/>
              <w:bottom w:val="single" w:sz="4" w:space="0" w:color="auto"/>
              <w:right w:val="single" w:sz="4" w:space="0" w:color="auto"/>
            </w:tcBorders>
            <w:shd w:val="clear" w:color="auto" w:fill="auto"/>
            <w:noWrap/>
            <w:vAlign w:val="center"/>
            <w:hideMark/>
          </w:tcPr>
          <w:p w14:paraId="2E93E101" w14:textId="77777777" w:rsidR="00F227AD" w:rsidRPr="000868A6" w:rsidRDefault="00F227AD" w:rsidP="00F91A85">
            <w:pPr>
              <w:rPr>
                <w:lang w:eastAsia="en-AU"/>
              </w:rPr>
            </w:pPr>
            <w:r w:rsidRPr="000868A6">
              <w:rPr>
                <w:lang w:eastAsia="en-AU"/>
              </w:rPr>
              <w:t>33</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7A2BB69B" w14:textId="77777777" w:rsidR="00F227AD" w:rsidRPr="000868A6" w:rsidRDefault="00F227AD" w:rsidP="00F91A85">
            <w:pPr>
              <w:rPr>
                <w:lang w:eastAsia="en-AU"/>
              </w:rPr>
            </w:pPr>
            <w:r w:rsidRPr="000868A6">
              <w:rPr>
                <w:lang w:eastAsia="en-AU"/>
              </w:rPr>
              <w:t>34</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7A0950F1" w14:textId="77777777" w:rsidR="00F227AD" w:rsidRPr="000868A6" w:rsidRDefault="00F227AD" w:rsidP="00F91A85">
            <w:pPr>
              <w:rPr>
                <w:lang w:eastAsia="en-AU"/>
              </w:rPr>
            </w:pPr>
            <w:r w:rsidRPr="000868A6">
              <w:rPr>
                <w:lang w:eastAsia="en-AU"/>
              </w:rPr>
              <w:t>29</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hideMark/>
          </w:tcPr>
          <w:p w14:paraId="52731879" w14:textId="77777777" w:rsidR="00F227AD" w:rsidRPr="000868A6" w:rsidRDefault="00F227AD" w:rsidP="00F91A85">
            <w:pPr>
              <w:rPr>
                <w:lang w:eastAsia="en-AU"/>
              </w:rPr>
            </w:pPr>
            <w:r w:rsidRPr="000868A6">
              <w:rPr>
                <w:lang w:eastAsia="en-AU"/>
              </w:rPr>
              <w:t>4</w:t>
            </w:r>
            <w:r>
              <w:rPr>
                <w:lang w:eastAsia="en-AU"/>
              </w:rPr>
              <w:t xml:space="preserve"> per cent</w:t>
            </w:r>
          </w:p>
        </w:tc>
      </w:tr>
      <w:tr w:rsidR="00F227AD" w:rsidRPr="000868A6" w14:paraId="27B2673C"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CEF5D55" w14:textId="77777777" w:rsidR="00F227AD" w:rsidRPr="000868A6" w:rsidRDefault="00F227AD" w:rsidP="00F91A85">
            <w:pPr>
              <w:rPr>
                <w:lang w:eastAsia="en-AU"/>
              </w:rPr>
            </w:pPr>
            <w:r w:rsidRPr="000868A6">
              <w:rPr>
                <w:lang w:eastAsia="en-AU"/>
              </w:rPr>
              <w:t>2021</w:t>
            </w:r>
          </w:p>
        </w:tc>
        <w:tc>
          <w:tcPr>
            <w:tcW w:w="2409" w:type="dxa"/>
            <w:tcBorders>
              <w:top w:val="nil"/>
              <w:left w:val="nil"/>
              <w:bottom w:val="single" w:sz="4" w:space="0" w:color="auto"/>
              <w:right w:val="single" w:sz="4" w:space="0" w:color="auto"/>
            </w:tcBorders>
            <w:shd w:val="clear" w:color="auto" w:fill="auto"/>
            <w:noWrap/>
            <w:vAlign w:val="center"/>
            <w:hideMark/>
          </w:tcPr>
          <w:p w14:paraId="75DC58AC" w14:textId="77777777" w:rsidR="00F227AD" w:rsidRPr="000868A6" w:rsidRDefault="00F227AD" w:rsidP="00F91A85">
            <w:pPr>
              <w:rPr>
                <w:lang w:eastAsia="en-AU"/>
              </w:rPr>
            </w:pPr>
            <w:r w:rsidRPr="000868A6">
              <w:rPr>
                <w:lang w:eastAsia="en-AU"/>
              </w:rPr>
              <w:t>36</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2142B3AD" w14:textId="77777777" w:rsidR="00F227AD" w:rsidRPr="000868A6" w:rsidRDefault="00F227AD" w:rsidP="00F91A85">
            <w:pPr>
              <w:rPr>
                <w:lang w:eastAsia="en-AU"/>
              </w:rPr>
            </w:pPr>
            <w:r w:rsidRPr="000868A6">
              <w:rPr>
                <w:lang w:eastAsia="en-AU"/>
              </w:rPr>
              <w:t>33</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16F3AAA0" w14:textId="77777777" w:rsidR="00F227AD" w:rsidRPr="000868A6" w:rsidRDefault="00F227AD" w:rsidP="00F91A85">
            <w:pPr>
              <w:rPr>
                <w:lang w:eastAsia="en-AU"/>
              </w:rPr>
            </w:pPr>
            <w:r w:rsidRPr="000868A6">
              <w:rPr>
                <w:lang w:eastAsia="en-AU"/>
              </w:rPr>
              <w:t>32</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1CE56723" w14:textId="77777777" w:rsidR="00F227AD" w:rsidRPr="000868A6" w:rsidRDefault="00F227AD" w:rsidP="00F9595A">
            <w:pPr>
              <w:rPr>
                <w:lang w:eastAsia="en-AU"/>
              </w:rPr>
            </w:pPr>
            <w:r w:rsidRPr="00DD344B">
              <w:rPr>
                <w:lang w:eastAsia="en-AU"/>
              </w:rPr>
              <w:t>Not reported</w:t>
            </w:r>
          </w:p>
        </w:tc>
      </w:tr>
      <w:tr w:rsidR="00F227AD" w:rsidRPr="000868A6" w14:paraId="19B8832A"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22F2126" w14:textId="77777777" w:rsidR="00F227AD" w:rsidRPr="000868A6" w:rsidRDefault="00F227AD" w:rsidP="00F91A85">
            <w:pPr>
              <w:rPr>
                <w:lang w:eastAsia="en-AU"/>
              </w:rPr>
            </w:pPr>
            <w:r w:rsidRPr="000868A6">
              <w:rPr>
                <w:lang w:eastAsia="en-AU"/>
              </w:rPr>
              <w:t>2022</w:t>
            </w:r>
          </w:p>
        </w:tc>
        <w:tc>
          <w:tcPr>
            <w:tcW w:w="2409" w:type="dxa"/>
            <w:tcBorders>
              <w:top w:val="nil"/>
              <w:left w:val="nil"/>
              <w:bottom w:val="single" w:sz="4" w:space="0" w:color="auto"/>
              <w:right w:val="single" w:sz="4" w:space="0" w:color="auto"/>
            </w:tcBorders>
            <w:shd w:val="clear" w:color="auto" w:fill="auto"/>
            <w:noWrap/>
            <w:vAlign w:val="center"/>
            <w:hideMark/>
          </w:tcPr>
          <w:p w14:paraId="651752B2" w14:textId="77777777" w:rsidR="00F227AD" w:rsidRPr="000868A6" w:rsidRDefault="00F227AD" w:rsidP="00F91A85">
            <w:pPr>
              <w:rPr>
                <w:lang w:eastAsia="en-AU"/>
              </w:rPr>
            </w:pPr>
            <w:r w:rsidRPr="000868A6">
              <w:rPr>
                <w:lang w:eastAsia="en-AU"/>
              </w:rPr>
              <w:t>47</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4ACC50BB" w14:textId="77777777" w:rsidR="00F227AD" w:rsidRPr="000868A6" w:rsidRDefault="00F227AD" w:rsidP="00F91A85">
            <w:pPr>
              <w:rPr>
                <w:lang w:eastAsia="en-AU"/>
              </w:rPr>
            </w:pPr>
            <w:r w:rsidRPr="000868A6">
              <w:rPr>
                <w:lang w:eastAsia="en-AU"/>
              </w:rPr>
              <w:t>31</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1B41ED27" w14:textId="77777777" w:rsidR="00F227AD" w:rsidRPr="000868A6" w:rsidRDefault="00F227AD" w:rsidP="00F91A85">
            <w:pPr>
              <w:rPr>
                <w:lang w:eastAsia="en-AU"/>
              </w:rPr>
            </w:pPr>
            <w:r w:rsidRPr="000868A6">
              <w:rPr>
                <w:lang w:eastAsia="en-AU"/>
              </w:rPr>
              <w:t>22</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4B33B521" w14:textId="77777777" w:rsidR="00F227AD" w:rsidRPr="000868A6" w:rsidRDefault="00F227AD" w:rsidP="00F9595A">
            <w:pPr>
              <w:rPr>
                <w:lang w:eastAsia="en-AU"/>
              </w:rPr>
            </w:pPr>
            <w:r w:rsidRPr="00DD344B">
              <w:rPr>
                <w:lang w:eastAsia="en-AU"/>
              </w:rPr>
              <w:t>Not reported</w:t>
            </w:r>
          </w:p>
        </w:tc>
      </w:tr>
      <w:tr w:rsidR="00F227AD" w:rsidRPr="000868A6" w14:paraId="243A9F11"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68CA35F" w14:textId="77777777" w:rsidR="00F227AD" w:rsidRPr="000868A6" w:rsidRDefault="00F227AD" w:rsidP="00F91A85">
            <w:pPr>
              <w:rPr>
                <w:lang w:eastAsia="en-AU"/>
              </w:rPr>
            </w:pPr>
            <w:r w:rsidRPr="000868A6">
              <w:rPr>
                <w:lang w:eastAsia="en-AU"/>
              </w:rPr>
              <w:lastRenderedPageBreak/>
              <w:t>2023</w:t>
            </w:r>
          </w:p>
        </w:tc>
        <w:tc>
          <w:tcPr>
            <w:tcW w:w="2409" w:type="dxa"/>
            <w:tcBorders>
              <w:top w:val="nil"/>
              <w:left w:val="nil"/>
              <w:bottom w:val="single" w:sz="4" w:space="0" w:color="auto"/>
              <w:right w:val="single" w:sz="4" w:space="0" w:color="auto"/>
            </w:tcBorders>
            <w:shd w:val="clear" w:color="auto" w:fill="auto"/>
            <w:noWrap/>
            <w:vAlign w:val="center"/>
            <w:hideMark/>
          </w:tcPr>
          <w:p w14:paraId="6C64476E" w14:textId="77777777" w:rsidR="00F227AD" w:rsidRPr="000868A6" w:rsidRDefault="00F227AD" w:rsidP="00F91A85">
            <w:pPr>
              <w:rPr>
                <w:lang w:eastAsia="en-AU"/>
              </w:rPr>
            </w:pPr>
            <w:r w:rsidRPr="000868A6">
              <w:rPr>
                <w:lang w:eastAsia="en-AU"/>
              </w:rPr>
              <w:t>50</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5E153195" w14:textId="77777777" w:rsidR="00F227AD" w:rsidRPr="000868A6" w:rsidRDefault="00F227AD" w:rsidP="00F91A85">
            <w:pPr>
              <w:rPr>
                <w:lang w:eastAsia="en-AU"/>
              </w:rPr>
            </w:pPr>
            <w:r w:rsidRPr="000868A6">
              <w:rPr>
                <w:lang w:eastAsia="en-AU"/>
              </w:rPr>
              <w:t>30</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6E1C0D3F" w14:textId="77777777" w:rsidR="00F227AD" w:rsidRPr="000868A6" w:rsidRDefault="00F227AD" w:rsidP="00F91A85">
            <w:pPr>
              <w:rPr>
                <w:lang w:eastAsia="en-AU"/>
              </w:rPr>
            </w:pPr>
            <w:r w:rsidRPr="000868A6">
              <w:rPr>
                <w:lang w:eastAsia="en-AU"/>
              </w:rPr>
              <w:t>19</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45352E36" w14:textId="77777777" w:rsidR="00F227AD" w:rsidRPr="000868A6" w:rsidRDefault="00F227AD" w:rsidP="00F9595A">
            <w:pPr>
              <w:rPr>
                <w:lang w:eastAsia="en-AU"/>
              </w:rPr>
            </w:pPr>
            <w:r w:rsidRPr="00DD344B">
              <w:rPr>
                <w:lang w:eastAsia="en-AU"/>
              </w:rPr>
              <w:t>Not reported</w:t>
            </w:r>
          </w:p>
        </w:tc>
      </w:tr>
      <w:tr w:rsidR="00F227AD" w:rsidRPr="000868A6" w14:paraId="439DB193" w14:textId="77777777" w:rsidTr="009F21E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77F513A8" w14:textId="77777777" w:rsidR="00F227AD" w:rsidRPr="000868A6" w:rsidRDefault="00F227AD" w:rsidP="00F91A85">
            <w:pPr>
              <w:rPr>
                <w:lang w:eastAsia="en-AU"/>
              </w:rPr>
            </w:pPr>
            <w:r w:rsidRPr="000868A6">
              <w:rPr>
                <w:lang w:eastAsia="en-AU"/>
              </w:rPr>
              <w:t>2024</w:t>
            </w:r>
          </w:p>
        </w:tc>
        <w:tc>
          <w:tcPr>
            <w:tcW w:w="2409" w:type="dxa"/>
            <w:tcBorders>
              <w:top w:val="nil"/>
              <w:left w:val="nil"/>
              <w:bottom w:val="single" w:sz="4" w:space="0" w:color="auto"/>
              <w:right w:val="single" w:sz="4" w:space="0" w:color="auto"/>
            </w:tcBorders>
            <w:shd w:val="clear" w:color="auto" w:fill="auto"/>
            <w:noWrap/>
            <w:vAlign w:val="center"/>
            <w:hideMark/>
          </w:tcPr>
          <w:p w14:paraId="100014FC" w14:textId="77777777" w:rsidR="00F227AD" w:rsidRPr="000868A6" w:rsidRDefault="00F227AD" w:rsidP="00F91A85">
            <w:pPr>
              <w:rPr>
                <w:lang w:eastAsia="en-AU"/>
              </w:rPr>
            </w:pPr>
            <w:r w:rsidRPr="000868A6">
              <w:rPr>
                <w:lang w:eastAsia="en-AU"/>
              </w:rPr>
              <w:t>60</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6E31D23F" w14:textId="77777777" w:rsidR="00F227AD" w:rsidRPr="000868A6" w:rsidRDefault="00F227AD" w:rsidP="00F91A85">
            <w:pPr>
              <w:rPr>
                <w:lang w:eastAsia="en-AU"/>
              </w:rPr>
            </w:pPr>
            <w:r w:rsidRPr="000868A6">
              <w:rPr>
                <w:lang w:eastAsia="en-AU"/>
              </w:rPr>
              <w:t>27</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085BBEC4" w14:textId="77777777" w:rsidR="00F227AD" w:rsidRPr="000868A6" w:rsidRDefault="00F227AD" w:rsidP="00F91A85">
            <w:pPr>
              <w:rPr>
                <w:lang w:eastAsia="en-AU"/>
              </w:rPr>
            </w:pPr>
            <w:r w:rsidRPr="000868A6">
              <w:rPr>
                <w:lang w:eastAsia="en-AU"/>
              </w:rPr>
              <w:t>13</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42B20CB1" w14:textId="77777777" w:rsidR="00F227AD" w:rsidRPr="000868A6" w:rsidRDefault="00F227AD" w:rsidP="00F9595A">
            <w:pPr>
              <w:rPr>
                <w:lang w:eastAsia="en-AU"/>
              </w:rPr>
            </w:pPr>
            <w:r w:rsidRPr="00DD344B">
              <w:rPr>
                <w:lang w:eastAsia="en-AU"/>
              </w:rPr>
              <w:t>Not reported</w:t>
            </w:r>
          </w:p>
        </w:tc>
      </w:tr>
    </w:tbl>
    <w:p w14:paraId="117C29EA" w14:textId="20FEF226" w:rsidR="030AA18E" w:rsidRDefault="030AA18E" w:rsidP="00F227AD">
      <w:pPr>
        <w:spacing w:before="360"/>
        <w:rPr>
          <w:color w:val="000000" w:themeColor="text1"/>
          <w:lang w:val="en-US"/>
        </w:rPr>
      </w:pPr>
      <w:r w:rsidRPr="50E3E469">
        <w:rPr>
          <w:lang w:val="en-US"/>
        </w:rPr>
        <w:t xml:space="preserve">Attitudes towards the NDIS Quality and Safeguarding Framework were increasingly negative, though these differences were smaller than </w:t>
      </w:r>
      <w:r w:rsidR="00DA04F3">
        <w:rPr>
          <w:lang w:val="en-US"/>
        </w:rPr>
        <w:t>for</w:t>
      </w:r>
      <w:r w:rsidRPr="50E3E469">
        <w:rPr>
          <w:lang w:val="en-US"/>
        </w:rPr>
        <w:t xml:space="preserve"> the general NDIS operating environment. Fifty-three per cent of respondents did not feel that the NDIS Quality and Safeguarding Framework supports quality of services</w:t>
      </w:r>
      <w:r w:rsidR="00031852" w:rsidRPr="007B3F2D">
        <w:t xml:space="preserve"> </w:t>
      </w:r>
      <w:r w:rsidR="00031852">
        <w:t xml:space="preserve">(see </w:t>
      </w:r>
      <w:r w:rsidR="00051F9B" w:rsidRPr="00051F9B">
        <w:fldChar w:fldCharType="begin"/>
      </w:r>
      <w:r w:rsidR="00051F9B" w:rsidRPr="00051F9B">
        <w:instrText xml:space="preserve"> REF _Ref183700429 \h  \* MERGEFORMAT </w:instrText>
      </w:r>
      <w:r w:rsidR="00051F9B" w:rsidRPr="00051F9B">
        <w:fldChar w:fldCharType="separate"/>
      </w:r>
      <w:r w:rsidR="00051F9B" w:rsidRPr="00051F9B">
        <w:t>Table </w:t>
      </w:r>
      <w:r w:rsidR="00051F9B" w:rsidRPr="00051F9B">
        <w:rPr>
          <w:noProof/>
        </w:rPr>
        <w:t>23</w:t>
      </w:r>
      <w:r w:rsidR="00051F9B" w:rsidRPr="00051F9B">
        <w:fldChar w:fldCharType="end"/>
      </w:r>
      <w:r w:rsidR="00031852">
        <w:t>)</w:t>
      </w:r>
      <w:r w:rsidRPr="50E3E469">
        <w:rPr>
          <w:lang w:val="en-US"/>
        </w:rPr>
        <w:t>.</w:t>
      </w:r>
    </w:p>
    <w:p w14:paraId="05934C01" w14:textId="2CBB8430" w:rsidR="001B1052" w:rsidRDefault="009D342F" w:rsidP="005366DB">
      <w:pPr>
        <w:pStyle w:val="Caption"/>
      </w:pPr>
      <w:bookmarkStart w:id="80" w:name="_Ref183700429"/>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23</w:t>
      </w:r>
      <w:r w:rsidR="0007250B" w:rsidRPr="001A77F7">
        <w:rPr>
          <w:b/>
          <w:bCs/>
          <w:noProof/>
        </w:rPr>
        <w:fldChar w:fldCharType="end"/>
      </w:r>
      <w:bookmarkEnd w:id="80"/>
      <w:r w:rsidR="001B1052" w:rsidRPr="003E5811">
        <w:t xml:space="preserve"> </w:t>
      </w:r>
      <w:r w:rsidR="001B1052" w:rsidRPr="009F202C">
        <w:t>We are confident that the NDIS Quality and Safeguarding Framework supports the quality of services/outcom</w:t>
      </w:r>
      <w:r w:rsidR="009F202C">
        <w:t>e</w:t>
      </w:r>
      <w:r w:rsidR="001B1052" w:rsidRPr="009F202C">
        <w:t>s</w:t>
      </w:r>
    </w:p>
    <w:tbl>
      <w:tblPr>
        <w:tblW w:w="9067" w:type="dxa"/>
        <w:tblLook w:val="04A0" w:firstRow="1" w:lastRow="0" w:firstColumn="1" w:lastColumn="0" w:noHBand="0" w:noVBand="1"/>
        <w:tblCaption w:val="Table 23 We are confident that the NDIS Quality and Safeguarding Framework supports the quality of services/outcomes"/>
        <w:tblDescription w:val="A table showing the percentage of respondents who are confident that the NDIS Quality and Safeguarding Framework supports the quality of services/outcomes. Trend data from 2019 to 2024."/>
      </w:tblPr>
      <w:tblGrid>
        <w:gridCol w:w="1129"/>
        <w:gridCol w:w="2410"/>
        <w:gridCol w:w="1843"/>
        <w:gridCol w:w="1984"/>
        <w:gridCol w:w="1701"/>
      </w:tblGrid>
      <w:tr w:rsidR="009F21E1" w:rsidRPr="005B756D" w14:paraId="08266A51" w14:textId="77777777" w:rsidTr="00372EB4">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F83D5E" w14:textId="77777777" w:rsidR="009F21E1" w:rsidRPr="005B756D" w:rsidRDefault="009F21E1" w:rsidP="005B756D">
            <w:pPr>
              <w:rPr>
                <w:b/>
                <w:bCs/>
                <w:lang w:eastAsia="en-AU"/>
              </w:rPr>
            </w:pPr>
            <w:bookmarkStart w:id="81" w:name="Title_Table_23"/>
            <w:bookmarkEnd w:id="81"/>
            <w:r w:rsidRPr="005B756D">
              <w:rPr>
                <w:b/>
                <w:bCs/>
                <w:lang w:eastAsia="en-AU"/>
              </w:rPr>
              <w:t>Year</w:t>
            </w:r>
          </w:p>
        </w:tc>
        <w:tc>
          <w:tcPr>
            <w:tcW w:w="24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56EE33" w14:textId="77777777" w:rsidR="009F21E1" w:rsidRPr="005B756D" w:rsidRDefault="009F21E1" w:rsidP="005B756D">
            <w:pPr>
              <w:rPr>
                <w:b/>
                <w:bCs/>
                <w:lang w:eastAsia="en-AU"/>
              </w:rPr>
            </w:pPr>
            <w:r w:rsidRPr="005B756D">
              <w:rPr>
                <w:b/>
                <w:bCs/>
                <w:lang w:eastAsia="en-AU"/>
              </w:rPr>
              <w:t>Disagree or strongly disagree</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FD1D6D" w14:textId="77777777" w:rsidR="009F21E1" w:rsidRPr="005B756D" w:rsidRDefault="009F21E1" w:rsidP="005B756D">
            <w:pPr>
              <w:rPr>
                <w:b/>
                <w:bCs/>
                <w:lang w:eastAsia="en-AU"/>
              </w:rPr>
            </w:pPr>
            <w:r w:rsidRPr="005B756D">
              <w:rPr>
                <w:b/>
                <w:bCs/>
                <w:lang w:eastAsia="en-AU"/>
              </w:rPr>
              <w:t>Neither agree nor disagree</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5EC506" w14:textId="77777777" w:rsidR="009F21E1" w:rsidRPr="005B756D" w:rsidRDefault="009F21E1" w:rsidP="005B756D">
            <w:pPr>
              <w:rPr>
                <w:b/>
                <w:bCs/>
                <w:lang w:eastAsia="en-AU"/>
              </w:rPr>
            </w:pPr>
            <w:r w:rsidRPr="005B756D">
              <w:rPr>
                <w:b/>
                <w:bCs/>
                <w:lang w:eastAsia="en-AU"/>
              </w:rPr>
              <w:t>Agree or strongly agree</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B95CB5" w14:textId="77777777" w:rsidR="009F21E1" w:rsidRPr="005B756D" w:rsidRDefault="009F21E1" w:rsidP="005B756D">
            <w:pPr>
              <w:rPr>
                <w:b/>
                <w:bCs/>
                <w:lang w:eastAsia="en-AU"/>
              </w:rPr>
            </w:pPr>
            <w:r w:rsidRPr="005B756D">
              <w:rPr>
                <w:b/>
                <w:bCs/>
                <w:lang w:eastAsia="en-AU"/>
              </w:rPr>
              <w:t>Don't know</w:t>
            </w:r>
          </w:p>
        </w:tc>
      </w:tr>
      <w:tr w:rsidR="009F21E1" w:rsidRPr="00C10087" w14:paraId="4A7827B6"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C961BE" w14:textId="77777777" w:rsidR="009F21E1" w:rsidRPr="00C10087" w:rsidRDefault="009F21E1" w:rsidP="005B756D">
            <w:pPr>
              <w:rPr>
                <w:lang w:eastAsia="en-AU"/>
              </w:rPr>
            </w:pPr>
            <w:r w:rsidRPr="00C10087">
              <w:rPr>
                <w:lang w:eastAsia="en-AU"/>
              </w:rPr>
              <w:t>2019</w:t>
            </w:r>
          </w:p>
        </w:tc>
        <w:tc>
          <w:tcPr>
            <w:tcW w:w="2410" w:type="dxa"/>
            <w:tcBorders>
              <w:top w:val="nil"/>
              <w:left w:val="nil"/>
              <w:bottom w:val="single" w:sz="4" w:space="0" w:color="auto"/>
              <w:right w:val="single" w:sz="4" w:space="0" w:color="auto"/>
            </w:tcBorders>
            <w:shd w:val="clear" w:color="auto" w:fill="auto"/>
            <w:noWrap/>
            <w:vAlign w:val="center"/>
            <w:hideMark/>
          </w:tcPr>
          <w:p w14:paraId="7CB79853" w14:textId="77777777" w:rsidR="009F21E1" w:rsidRPr="00C10087" w:rsidRDefault="009F21E1" w:rsidP="005B756D">
            <w:pPr>
              <w:rPr>
                <w:lang w:eastAsia="en-AU"/>
              </w:rPr>
            </w:pPr>
            <w:r w:rsidRPr="00C10087">
              <w:rPr>
                <w:lang w:eastAsia="en-AU"/>
              </w:rPr>
              <w:t>26</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2A5BB458" w14:textId="77777777" w:rsidR="009F21E1" w:rsidRPr="00C10087" w:rsidRDefault="009F21E1" w:rsidP="005B756D">
            <w:pPr>
              <w:rPr>
                <w:lang w:eastAsia="en-AU"/>
              </w:rPr>
            </w:pPr>
            <w:r w:rsidRPr="00C10087">
              <w:rPr>
                <w:lang w:eastAsia="en-AU"/>
              </w:rPr>
              <w:t>32</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1B22681E" w14:textId="77777777" w:rsidR="009F21E1" w:rsidRPr="00C10087" w:rsidRDefault="009F21E1" w:rsidP="005B756D">
            <w:pPr>
              <w:rPr>
                <w:lang w:eastAsia="en-AU"/>
              </w:rPr>
            </w:pPr>
            <w:r w:rsidRPr="00C10087">
              <w:rPr>
                <w:lang w:eastAsia="en-AU"/>
              </w:rPr>
              <w:t>40</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1200F9B4" w14:textId="77777777" w:rsidR="009F21E1" w:rsidRPr="00C10087" w:rsidRDefault="009F21E1" w:rsidP="005B756D">
            <w:pPr>
              <w:rPr>
                <w:lang w:eastAsia="en-AU"/>
              </w:rPr>
            </w:pPr>
            <w:r w:rsidRPr="00C10087">
              <w:rPr>
                <w:lang w:eastAsia="en-AU"/>
              </w:rPr>
              <w:t>2</w:t>
            </w:r>
            <w:r>
              <w:rPr>
                <w:lang w:eastAsia="en-AU"/>
              </w:rPr>
              <w:t xml:space="preserve"> per cent</w:t>
            </w:r>
          </w:p>
        </w:tc>
      </w:tr>
      <w:tr w:rsidR="009F21E1" w:rsidRPr="00C10087" w14:paraId="110D52EC"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E98493B" w14:textId="77777777" w:rsidR="009F21E1" w:rsidRPr="00C10087" w:rsidRDefault="009F21E1" w:rsidP="005B756D">
            <w:pPr>
              <w:rPr>
                <w:lang w:eastAsia="en-AU"/>
              </w:rPr>
            </w:pPr>
            <w:r w:rsidRPr="00C10087">
              <w:rPr>
                <w:lang w:eastAsia="en-AU"/>
              </w:rPr>
              <w:t>2020</w:t>
            </w:r>
          </w:p>
        </w:tc>
        <w:tc>
          <w:tcPr>
            <w:tcW w:w="2410" w:type="dxa"/>
            <w:tcBorders>
              <w:top w:val="nil"/>
              <w:left w:val="nil"/>
              <w:bottom w:val="single" w:sz="4" w:space="0" w:color="auto"/>
              <w:right w:val="single" w:sz="4" w:space="0" w:color="auto"/>
            </w:tcBorders>
            <w:shd w:val="clear" w:color="auto" w:fill="auto"/>
            <w:noWrap/>
            <w:vAlign w:val="center"/>
            <w:hideMark/>
          </w:tcPr>
          <w:p w14:paraId="333E4DA7" w14:textId="77777777" w:rsidR="009F21E1" w:rsidRPr="00C10087" w:rsidRDefault="009F21E1" w:rsidP="005B756D">
            <w:pPr>
              <w:rPr>
                <w:lang w:eastAsia="en-AU"/>
              </w:rPr>
            </w:pPr>
            <w:r w:rsidRPr="00C10087">
              <w:rPr>
                <w:lang w:eastAsia="en-AU"/>
              </w:rPr>
              <w:t>25</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7835C4D3" w14:textId="77777777" w:rsidR="009F21E1" w:rsidRPr="00C10087" w:rsidRDefault="009F21E1" w:rsidP="005B756D">
            <w:pPr>
              <w:rPr>
                <w:lang w:eastAsia="en-AU"/>
              </w:rPr>
            </w:pPr>
            <w:r w:rsidRPr="00C10087">
              <w:rPr>
                <w:lang w:eastAsia="en-AU"/>
              </w:rPr>
              <w:t>24</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41CCC598" w14:textId="77777777" w:rsidR="009F21E1" w:rsidRPr="00C10087" w:rsidRDefault="009F21E1" w:rsidP="005B756D">
            <w:pPr>
              <w:rPr>
                <w:lang w:eastAsia="en-AU"/>
              </w:rPr>
            </w:pPr>
            <w:r w:rsidRPr="00C10087">
              <w:rPr>
                <w:lang w:eastAsia="en-AU"/>
              </w:rPr>
              <w:t>50</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7C52445" w14:textId="77777777" w:rsidR="009F21E1" w:rsidRPr="00C10087" w:rsidRDefault="009F21E1" w:rsidP="005B756D">
            <w:pPr>
              <w:rPr>
                <w:lang w:eastAsia="en-AU"/>
              </w:rPr>
            </w:pPr>
            <w:r w:rsidRPr="00C10087">
              <w:rPr>
                <w:lang w:eastAsia="en-AU"/>
              </w:rPr>
              <w:t>0</w:t>
            </w:r>
            <w:r>
              <w:rPr>
                <w:lang w:eastAsia="en-AU"/>
              </w:rPr>
              <w:t xml:space="preserve"> per cent</w:t>
            </w:r>
          </w:p>
        </w:tc>
      </w:tr>
      <w:tr w:rsidR="009F21E1" w:rsidRPr="00C10087" w14:paraId="32CB9FC9"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32D1C5" w14:textId="77777777" w:rsidR="009F21E1" w:rsidRPr="00C10087" w:rsidRDefault="009F21E1" w:rsidP="005B756D">
            <w:pPr>
              <w:rPr>
                <w:lang w:eastAsia="en-AU"/>
              </w:rPr>
            </w:pPr>
            <w:r w:rsidRPr="00C10087">
              <w:rPr>
                <w:lang w:eastAsia="en-AU"/>
              </w:rPr>
              <w:t>2021</w:t>
            </w:r>
          </w:p>
        </w:tc>
        <w:tc>
          <w:tcPr>
            <w:tcW w:w="2410" w:type="dxa"/>
            <w:tcBorders>
              <w:top w:val="nil"/>
              <w:left w:val="nil"/>
              <w:bottom w:val="single" w:sz="4" w:space="0" w:color="auto"/>
              <w:right w:val="single" w:sz="4" w:space="0" w:color="auto"/>
            </w:tcBorders>
            <w:shd w:val="clear" w:color="auto" w:fill="auto"/>
            <w:noWrap/>
            <w:vAlign w:val="center"/>
            <w:hideMark/>
          </w:tcPr>
          <w:p w14:paraId="03A64897" w14:textId="77777777" w:rsidR="009F21E1" w:rsidRPr="00C10087" w:rsidRDefault="009F21E1" w:rsidP="005B756D">
            <w:pPr>
              <w:rPr>
                <w:lang w:eastAsia="en-AU"/>
              </w:rPr>
            </w:pPr>
            <w:r w:rsidRPr="00C10087">
              <w:rPr>
                <w:lang w:eastAsia="en-AU"/>
              </w:rPr>
              <w:t>30</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1D3B6A0D" w14:textId="77777777" w:rsidR="009F21E1" w:rsidRPr="00C10087" w:rsidRDefault="009F21E1" w:rsidP="005B756D">
            <w:pPr>
              <w:rPr>
                <w:lang w:eastAsia="en-AU"/>
              </w:rPr>
            </w:pPr>
            <w:r w:rsidRPr="00C10087">
              <w:rPr>
                <w:lang w:eastAsia="en-AU"/>
              </w:rPr>
              <w:t>26</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0B603A1C" w14:textId="77777777" w:rsidR="009F21E1" w:rsidRPr="00C10087" w:rsidRDefault="009F21E1" w:rsidP="005B756D">
            <w:pPr>
              <w:rPr>
                <w:lang w:eastAsia="en-AU"/>
              </w:rPr>
            </w:pPr>
            <w:r w:rsidRPr="00C10087">
              <w:rPr>
                <w:lang w:eastAsia="en-AU"/>
              </w:rPr>
              <w:t>45</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tcPr>
          <w:p w14:paraId="05A1FF4B" w14:textId="77777777" w:rsidR="009F21E1" w:rsidRPr="00C10087" w:rsidRDefault="009F21E1" w:rsidP="005B756D">
            <w:pPr>
              <w:rPr>
                <w:lang w:eastAsia="en-AU"/>
              </w:rPr>
            </w:pPr>
            <w:r w:rsidRPr="00DD344B">
              <w:rPr>
                <w:lang w:eastAsia="en-AU"/>
              </w:rPr>
              <w:t>Not reported</w:t>
            </w:r>
          </w:p>
        </w:tc>
      </w:tr>
      <w:tr w:rsidR="009F21E1" w:rsidRPr="00C10087" w14:paraId="1CE49E2F"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8BDBD0F" w14:textId="77777777" w:rsidR="009F21E1" w:rsidRPr="00C10087" w:rsidRDefault="009F21E1" w:rsidP="005B756D">
            <w:pPr>
              <w:rPr>
                <w:lang w:eastAsia="en-AU"/>
              </w:rPr>
            </w:pPr>
            <w:r w:rsidRPr="00C10087">
              <w:rPr>
                <w:lang w:eastAsia="en-AU"/>
              </w:rPr>
              <w:t>2022</w:t>
            </w:r>
          </w:p>
        </w:tc>
        <w:tc>
          <w:tcPr>
            <w:tcW w:w="2410" w:type="dxa"/>
            <w:tcBorders>
              <w:top w:val="nil"/>
              <w:left w:val="nil"/>
              <w:bottom w:val="single" w:sz="4" w:space="0" w:color="auto"/>
              <w:right w:val="single" w:sz="4" w:space="0" w:color="auto"/>
            </w:tcBorders>
            <w:shd w:val="clear" w:color="auto" w:fill="auto"/>
            <w:noWrap/>
            <w:vAlign w:val="center"/>
            <w:hideMark/>
          </w:tcPr>
          <w:p w14:paraId="320AB687" w14:textId="77777777" w:rsidR="009F21E1" w:rsidRPr="00C10087" w:rsidRDefault="009F21E1" w:rsidP="005B756D">
            <w:pPr>
              <w:rPr>
                <w:lang w:eastAsia="en-AU"/>
              </w:rPr>
            </w:pPr>
            <w:r w:rsidRPr="00C10087">
              <w:rPr>
                <w:lang w:eastAsia="en-AU"/>
              </w:rPr>
              <w:t>41</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600916DB" w14:textId="77777777" w:rsidR="009F21E1" w:rsidRPr="00C10087" w:rsidRDefault="009F21E1" w:rsidP="005B756D">
            <w:pPr>
              <w:rPr>
                <w:lang w:eastAsia="en-AU"/>
              </w:rPr>
            </w:pPr>
            <w:r w:rsidRPr="00C10087">
              <w:rPr>
                <w:lang w:eastAsia="en-AU"/>
              </w:rPr>
              <w:t>20</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57BECA24" w14:textId="77777777" w:rsidR="009F21E1" w:rsidRPr="00C10087" w:rsidRDefault="009F21E1" w:rsidP="005B756D">
            <w:pPr>
              <w:rPr>
                <w:lang w:eastAsia="en-AU"/>
              </w:rPr>
            </w:pPr>
            <w:r w:rsidRPr="00C10087">
              <w:rPr>
                <w:lang w:eastAsia="en-AU"/>
              </w:rPr>
              <w:t>39</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tcPr>
          <w:p w14:paraId="4D5DA736" w14:textId="77777777" w:rsidR="009F21E1" w:rsidRPr="00C10087" w:rsidRDefault="009F21E1" w:rsidP="005B756D">
            <w:pPr>
              <w:rPr>
                <w:lang w:eastAsia="en-AU"/>
              </w:rPr>
            </w:pPr>
            <w:r w:rsidRPr="00DD344B">
              <w:rPr>
                <w:lang w:eastAsia="en-AU"/>
              </w:rPr>
              <w:t>Not reported</w:t>
            </w:r>
          </w:p>
        </w:tc>
      </w:tr>
      <w:tr w:rsidR="009F21E1" w:rsidRPr="00C10087" w14:paraId="50EBA339"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9952334" w14:textId="77777777" w:rsidR="009F21E1" w:rsidRPr="00C10087" w:rsidRDefault="009F21E1" w:rsidP="005B756D">
            <w:pPr>
              <w:rPr>
                <w:lang w:eastAsia="en-AU"/>
              </w:rPr>
            </w:pPr>
            <w:r w:rsidRPr="00C10087">
              <w:rPr>
                <w:lang w:eastAsia="en-AU"/>
              </w:rPr>
              <w:t>2023</w:t>
            </w:r>
          </w:p>
        </w:tc>
        <w:tc>
          <w:tcPr>
            <w:tcW w:w="2410" w:type="dxa"/>
            <w:tcBorders>
              <w:top w:val="nil"/>
              <w:left w:val="nil"/>
              <w:bottom w:val="single" w:sz="4" w:space="0" w:color="auto"/>
              <w:right w:val="single" w:sz="4" w:space="0" w:color="auto"/>
            </w:tcBorders>
            <w:shd w:val="clear" w:color="auto" w:fill="auto"/>
            <w:noWrap/>
            <w:vAlign w:val="center"/>
            <w:hideMark/>
          </w:tcPr>
          <w:p w14:paraId="39744939" w14:textId="77777777" w:rsidR="009F21E1" w:rsidRPr="00C10087" w:rsidRDefault="009F21E1" w:rsidP="005B756D">
            <w:pPr>
              <w:rPr>
                <w:lang w:eastAsia="en-AU"/>
              </w:rPr>
            </w:pPr>
            <w:r w:rsidRPr="00C10087">
              <w:rPr>
                <w:lang w:eastAsia="en-AU"/>
              </w:rPr>
              <w:t>48</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3D29E68D" w14:textId="77777777" w:rsidR="009F21E1" w:rsidRPr="00C10087" w:rsidRDefault="009F21E1" w:rsidP="005B756D">
            <w:pPr>
              <w:rPr>
                <w:lang w:eastAsia="en-AU"/>
              </w:rPr>
            </w:pPr>
            <w:r w:rsidRPr="00C10087">
              <w:rPr>
                <w:lang w:eastAsia="en-AU"/>
              </w:rPr>
              <w:t>23</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0B7E76B5" w14:textId="77777777" w:rsidR="009F21E1" w:rsidRPr="00C10087" w:rsidRDefault="009F21E1" w:rsidP="005B756D">
            <w:pPr>
              <w:rPr>
                <w:lang w:eastAsia="en-AU"/>
              </w:rPr>
            </w:pPr>
            <w:r w:rsidRPr="00C10087">
              <w:rPr>
                <w:lang w:eastAsia="en-AU"/>
              </w:rPr>
              <w:t>29</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tcPr>
          <w:p w14:paraId="0D9CBC2C" w14:textId="77777777" w:rsidR="009F21E1" w:rsidRPr="00C10087" w:rsidRDefault="009F21E1" w:rsidP="005B756D">
            <w:pPr>
              <w:rPr>
                <w:lang w:eastAsia="en-AU"/>
              </w:rPr>
            </w:pPr>
            <w:r w:rsidRPr="00DD344B">
              <w:rPr>
                <w:lang w:eastAsia="en-AU"/>
              </w:rPr>
              <w:t>Not reported</w:t>
            </w:r>
          </w:p>
        </w:tc>
      </w:tr>
      <w:tr w:rsidR="009F21E1" w:rsidRPr="00C10087" w14:paraId="38852B6D" w14:textId="77777777" w:rsidTr="00372EB4">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AE1A73B" w14:textId="77777777" w:rsidR="009F21E1" w:rsidRPr="00C10087" w:rsidRDefault="009F21E1" w:rsidP="005B756D">
            <w:pPr>
              <w:rPr>
                <w:lang w:eastAsia="en-AU"/>
              </w:rPr>
            </w:pPr>
            <w:r w:rsidRPr="00C10087">
              <w:rPr>
                <w:lang w:eastAsia="en-AU"/>
              </w:rPr>
              <w:t>2024</w:t>
            </w:r>
          </w:p>
        </w:tc>
        <w:tc>
          <w:tcPr>
            <w:tcW w:w="2410" w:type="dxa"/>
            <w:tcBorders>
              <w:top w:val="nil"/>
              <w:left w:val="nil"/>
              <w:bottom w:val="single" w:sz="4" w:space="0" w:color="auto"/>
              <w:right w:val="single" w:sz="4" w:space="0" w:color="auto"/>
            </w:tcBorders>
            <w:shd w:val="clear" w:color="auto" w:fill="auto"/>
            <w:noWrap/>
            <w:vAlign w:val="center"/>
            <w:hideMark/>
          </w:tcPr>
          <w:p w14:paraId="3DD9875B" w14:textId="77777777" w:rsidR="009F21E1" w:rsidRPr="00C10087" w:rsidRDefault="009F21E1" w:rsidP="005B756D">
            <w:pPr>
              <w:rPr>
                <w:lang w:eastAsia="en-AU"/>
              </w:rPr>
            </w:pPr>
            <w:r w:rsidRPr="00C10087">
              <w:rPr>
                <w:lang w:eastAsia="en-AU"/>
              </w:rPr>
              <w:t>53</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5D2A90E3" w14:textId="77777777" w:rsidR="009F21E1" w:rsidRPr="00C10087" w:rsidRDefault="009F21E1" w:rsidP="005B756D">
            <w:pPr>
              <w:rPr>
                <w:lang w:eastAsia="en-AU"/>
              </w:rPr>
            </w:pPr>
            <w:r w:rsidRPr="00C10087">
              <w:rPr>
                <w:lang w:eastAsia="en-AU"/>
              </w:rPr>
              <w:t>22</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450544B5" w14:textId="77777777" w:rsidR="009F21E1" w:rsidRPr="00C10087" w:rsidRDefault="009F21E1" w:rsidP="005B756D">
            <w:pPr>
              <w:rPr>
                <w:lang w:eastAsia="en-AU"/>
              </w:rPr>
            </w:pPr>
            <w:r w:rsidRPr="00C10087">
              <w:rPr>
                <w:lang w:eastAsia="en-AU"/>
              </w:rPr>
              <w:t>26</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tcPr>
          <w:p w14:paraId="7629B156" w14:textId="77777777" w:rsidR="009F21E1" w:rsidRPr="00C10087" w:rsidRDefault="009F21E1" w:rsidP="005B756D">
            <w:pPr>
              <w:rPr>
                <w:lang w:eastAsia="en-AU"/>
              </w:rPr>
            </w:pPr>
            <w:r w:rsidRPr="00DD344B">
              <w:rPr>
                <w:lang w:eastAsia="en-AU"/>
              </w:rPr>
              <w:t>Not reported</w:t>
            </w:r>
          </w:p>
        </w:tc>
      </w:tr>
    </w:tbl>
    <w:p w14:paraId="647C0E6B" w14:textId="4CE41773" w:rsidR="030AA18E" w:rsidRDefault="030AA18E" w:rsidP="009F21E1">
      <w:pPr>
        <w:spacing w:before="360"/>
        <w:rPr>
          <w:color w:val="000000" w:themeColor="text1"/>
          <w:lang w:val="en-US"/>
        </w:rPr>
      </w:pPr>
      <w:r w:rsidRPr="644B5232">
        <w:rPr>
          <w:lang w:val="en-US"/>
        </w:rPr>
        <w:t>Opinions of the individual elements of the NDIS Quality and Safeguarding Framework have improved slightly this year.</w:t>
      </w:r>
    </w:p>
    <w:p w14:paraId="74C78EFA" w14:textId="230E7376" w:rsidR="004316F3" w:rsidRDefault="030AA18E" w:rsidP="0097062A">
      <w:pPr>
        <w:rPr>
          <w:lang w:val="en-US"/>
        </w:rPr>
      </w:pPr>
      <w:r w:rsidRPr="644B5232">
        <w:rPr>
          <w:lang w:val="en-US"/>
        </w:rPr>
        <w:t xml:space="preserve">The largest improvement is </w:t>
      </w:r>
      <w:r w:rsidR="004E40CD">
        <w:rPr>
          <w:lang w:val="en-US"/>
        </w:rPr>
        <w:t>t</w:t>
      </w:r>
      <w:r w:rsidRPr="644B5232">
        <w:rPr>
          <w:lang w:val="en-US"/>
        </w:rPr>
        <w:t>o opinions of incident management and reportable incidents</w:t>
      </w:r>
      <w:r w:rsidR="006F6A5D">
        <w:rPr>
          <w:lang w:val="en-US"/>
        </w:rPr>
        <w:t>. L</w:t>
      </w:r>
      <w:r w:rsidRPr="644B5232">
        <w:rPr>
          <w:lang w:val="en-US"/>
        </w:rPr>
        <w:t xml:space="preserve">ast </w:t>
      </w:r>
      <w:r w:rsidR="00EA5725">
        <w:rPr>
          <w:lang w:val="en-US"/>
        </w:rPr>
        <w:t>year,</w:t>
      </w:r>
      <w:r w:rsidRPr="644B5232">
        <w:rPr>
          <w:lang w:val="en-US"/>
        </w:rPr>
        <w:t xml:space="preserve"> only 51 per cent of respondents believed this led to good outcomes, while this year that has risen to 61 per cent</w:t>
      </w:r>
      <w:r w:rsidR="00031852" w:rsidRPr="007B3F2D">
        <w:t xml:space="preserve"> </w:t>
      </w:r>
      <w:r w:rsidR="00031852">
        <w:t xml:space="preserve">(see </w:t>
      </w:r>
      <w:r w:rsidR="00051F9B" w:rsidRPr="00051F9B">
        <w:fldChar w:fldCharType="begin"/>
      </w:r>
      <w:r w:rsidR="00051F9B" w:rsidRPr="00051F9B">
        <w:instrText xml:space="preserve"> REF _Ref183700490 \h  \* MERGEFORMAT </w:instrText>
      </w:r>
      <w:r w:rsidR="00051F9B" w:rsidRPr="00051F9B">
        <w:fldChar w:fldCharType="separate"/>
      </w:r>
      <w:r w:rsidR="00051F9B" w:rsidRPr="00051F9B">
        <w:t>Table </w:t>
      </w:r>
      <w:r w:rsidR="00051F9B" w:rsidRPr="00051F9B">
        <w:rPr>
          <w:noProof/>
        </w:rPr>
        <w:t>24</w:t>
      </w:r>
      <w:r w:rsidR="00051F9B" w:rsidRPr="00051F9B">
        <w:fldChar w:fldCharType="end"/>
      </w:r>
      <w:r w:rsidR="00031852">
        <w:t>)</w:t>
      </w:r>
      <w:r w:rsidRPr="644B5232">
        <w:rPr>
          <w:lang w:val="en-US"/>
        </w:rPr>
        <w:t>.</w:t>
      </w:r>
    </w:p>
    <w:p w14:paraId="6CE29B58" w14:textId="77777777" w:rsidR="004316F3" w:rsidRDefault="030AA18E" w:rsidP="0097062A">
      <w:pPr>
        <w:rPr>
          <w:lang w:val="en-US"/>
        </w:rPr>
      </w:pPr>
      <w:r w:rsidRPr="644B5232">
        <w:rPr>
          <w:lang w:val="en-US"/>
        </w:rPr>
        <w:t xml:space="preserve">Respondent attitudes towards NDIS practice standards auditing changed by six per cent, rising to 62 per cent of respondents believing that it leads to good outcomes for </w:t>
      </w:r>
      <w:r w:rsidRPr="644B5232">
        <w:rPr>
          <w:lang w:val="en-US"/>
        </w:rPr>
        <w:lastRenderedPageBreak/>
        <w:t>participants. A similar change was seen in complaints management and dispute resolution with 57 per cent believing that it leads to good outcomes for participants.</w:t>
      </w:r>
    </w:p>
    <w:p w14:paraId="42A4D440" w14:textId="77777777" w:rsidR="004316F3" w:rsidRDefault="13243A82" w:rsidP="0097062A">
      <w:pPr>
        <w:rPr>
          <w:lang w:val="en-US"/>
        </w:rPr>
      </w:pPr>
      <w:r w:rsidRPr="537C6E22">
        <w:rPr>
          <w:lang w:val="en-US"/>
        </w:rPr>
        <w:t xml:space="preserve">Agreement on the impact of </w:t>
      </w:r>
      <w:proofErr w:type="spellStart"/>
      <w:r w:rsidRPr="537C6E22">
        <w:rPr>
          <w:lang w:val="en-US"/>
        </w:rPr>
        <w:t>behaviour</w:t>
      </w:r>
      <w:proofErr w:type="spellEnd"/>
      <w:r w:rsidRPr="537C6E22">
        <w:rPr>
          <w:lang w:val="en-US"/>
        </w:rPr>
        <w:t xml:space="preserve"> support requirements (to reduce and eliminate restrictive practices) grew by five per cent with 52 per cent agreeing that it leads to positive outcomes for participants. Attitudes towards the NDIS online modules for the Code of Conduct and Induction grew by four per cent to 74 per cent (Code of Conduct) and 68 per cent (Induction).</w:t>
      </w:r>
    </w:p>
    <w:p w14:paraId="77955D65" w14:textId="77777777" w:rsidR="004316F3" w:rsidRDefault="13243A82" w:rsidP="0097062A">
      <w:pPr>
        <w:rPr>
          <w:lang w:val="en-US"/>
        </w:rPr>
      </w:pPr>
      <w:r w:rsidRPr="537C6E22">
        <w:rPr>
          <w:lang w:val="en-US"/>
        </w:rPr>
        <w:t xml:space="preserve">Opinions that the full worker screening requirements contribute to positive outcomes </w:t>
      </w:r>
      <w:r w:rsidR="69713008" w:rsidRPr="537C6E22">
        <w:rPr>
          <w:lang w:val="en-US"/>
        </w:rPr>
        <w:t>were</w:t>
      </w:r>
      <w:r w:rsidRPr="537C6E22">
        <w:rPr>
          <w:lang w:val="en-US"/>
        </w:rPr>
        <w:t xml:space="preserve"> high last </w:t>
      </w:r>
      <w:r w:rsidR="00EA5725">
        <w:rPr>
          <w:lang w:val="en-US"/>
        </w:rPr>
        <w:t>year,</w:t>
      </w:r>
      <w:r w:rsidRPr="537C6E22">
        <w:rPr>
          <w:lang w:val="en-US"/>
        </w:rPr>
        <w:t xml:space="preserve"> with a further increase this year to 8</w:t>
      </w:r>
      <w:r w:rsidR="00DA04F3">
        <w:rPr>
          <w:lang w:val="en-US"/>
        </w:rPr>
        <w:t>1</w:t>
      </w:r>
      <w:r w:rsidRPr="537C6E22">
        <w:rPr>
          <w:lang w:val="en-US"/>
        </w:rPr>
        <w:t xml:space="preserve"> per cent. However, beliefs that both NDIS Commission Practice Guidelines and registered NDIS provider notice of changes and events lead to good outcomes for participants decreased</w:t>
      </w:r>
      <w:r w:rsidR="00F344C1" w:rsidRPr="537C6E22">
        <w:rPr>
          <w:lang w:val="en-US"/>
        </w:rPr>
        <w:t xml:space="preserve">, </w:t>
      </w:r>
      <w:r w:rsidRPr="537C6E22">
        <w:rPr>
          <w:lang w:val="en-US"/>
        </w:rPr>
        <w:t>though these were already low.</w:t>
      </w:r>
    </w:p>
    <w:p w14:paraId="2B683E48" w14:textId="486F7982" w:rsidR="030AA18E" w:rsidRDefault="13243A82" w:rsidP="0097062A">
      <w:pPr>
        <w:rPr>
          <w:color w:val="000000" w:themeColor="text1"/>
          <w:lang w:val="en-US"/>
        </w:rPr>
      </w:pPr>
      <w:r w:rsidRPr="537C6E22">
        <w:rPr>
          <w:lang w:val="en-US"/>
        </w:rPr>
        <w:t xml:space="preserve">This year only 45 per cent of respondents believe that the Practice Guidelines lead to good outcomes for participants and 30 per cent believe that registered NDIS </w:t>
      </w:r>
      <w:proofErr w:type="gramStart"/>
      <w:r w:rsidRPr="537C6E22">
        <w:rPr>
          <w:lang w:val="en-US"/>
        </w:rPr>
        <w:t>provider</w:t>
      </w:r>
      <w:proofErr w:type="gramEnd"/>
      <w:r w:rsidRPr="537C6E22">
        <w:rPr>
          <w:lang w:val="en-US"/>
        </w:rPr>
        <w:t xml:space="preserve"> notices of changes and events lead to good outcomes for participants.</w:t>
      </w:r>
    </w:p>
    <w:p w14:paraId="5D7E618B" w14:textId="0421D6EC" w:rsidR="001B1052" w:rsidRDefault="009D342F" w:rsidP="005366DB">
      <w:pPr>
        <w:pStyle w:val="Caption"/>
      </w:pPr>
      <w:bookmarkStart w:id="82" w:name="_Ref183700490"/>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24</w:t>
      </w:r>
      <w:r w:rsidR="0007250B" w:rsidRPr="001A77F7">
        <w:rPr>
          <w:b/>
          <w:bCs/>
          <w:noProof/>
        </w:rPr>
        <w:fldChar w:fldCharType="end"/>
      </w:r>
      <w:bookmarkEnd w:id="82"/>
      <w:r w:rsidR="001B1052" w:rsidRPr="0024354F">
        <w:t xml:space="preserve"> </w:t>
      </w:r>
      <w:r w:rsidR="001B1052" w:rsidRPr="009F202C">
        <w:t>Quality and Safeguarding Framework</w:t>
      </w:r>
    </w:p>
    <w:tbl>
      <w:tblPr>
        <w:tblW w:w="8784" w:type="dxa"/>
        <w:tblLook w:val="04A0" w:firstRow="1" w:lastRow="0" w:firstColumn="1" w:lastColumn="0" w:noHBand="0" w:noVBand="1"/>
        <w:tblCaption w:val="Table 24 Quality and Safeguarding Framework"/>
        <w:tblDescription w:val="A table showing the percentage of respondents who agree or disagree that the regulatory instruments of the NDIS Quality and Safeguarding Framework leads to good outcomes for participants. "/>
      </w:tblPr>
      <w:tblGrid>
        <w:gridCol w:w="3397"/>
        <w:gridCol w:w="1843"/>
        <w:gridCol w:w="1701"/>
        <w:gridCol w:w="1843"/>
      </w:tblGrid>
      <w:tr w:rsidR="00372EB4" w:rsidRPr="00372EB4" w14:paraId="61744ECB" w14:textId="77777777" w:rsidTr="00887293">
        <w:trPr>
          <w:trHeight w:val="1200"/>
          <w:tblHeader/>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87D6DA" w14:textId="77777777" w:rsidR="00372EB4" w:rsidRPr="00372EB4" w:rsidRDefault="00372EB4" w:rsidP="00372EB4">
            <w:pPr>
              <w:rPr>
                <w:b/>
                <w:bCs/>
                <w:lang w:eastAsia="en-AU"/>
              </w:rPr>
            </w:pPr>
            <w:bookmarkStart w:id="83" w:name="Title_Table_24"/>
            <w:bookmarkEnd w:id="83"/>
            <w:r w:rsidRPr="00372EB4">
              <w:rPr>
                <w:b/>
                <w:bCs/>
                <w:lang w:eastAsia="en-AU"/>
              </w:rPr>
              <w:t>Framework</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1F4A418A" w14:textId="77777777" w:rsidR="00372EB4" w:rsidRPr="00372EB4" w:rsidRDefault="00372EB4" w:rsidP="00372EB4">
            <w:pPr>
              <w:rPr>
                <w:b/>
                <w:bCs/>
                <w:lang w:eastAsia="en-AU"/>
              </w:rPr>
            </w:pPr>
            <w:r w:rsidRPr="00372EB4">
              <w:rPr>
                <w:b/>
                <w:bCs/>
                <w:lang w:eastAsia="en-AU"/>
              </w:rPr>
              <w:t>Disagree or strongly disagree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7EC10486" w14:textId="77777777" w:rsidR="00372EB4" w:rsidRPr="00372EB4" w:rsidRDefault="00372EB4" w:rsidP="00372EB4">
            <w:pPr>
              <w:rPr>
                <w:b/>
                <w:bCs/>
                <w:lang w:eastAsia="en-AU"/>
              </w:rPr>
            </w:pPr>
            <w:r w:rsidRPr="00372EB4">
              <w:rPr>
                <w:b/>
                <w:bCs/>
                <w:lang w:eastAsia="en-AU"/>
              </w:rPr>
              <w:t>Neither agree nor disagree</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DD78E20" w14:textId="77777777" w:rsidR="00372EB4" w:rsidRPr="00372EB4" w:rsidRDefault="00372EB4" w:rsidP="00372EB4">
            <w:pPr>
              <w:rPr>
                <w:b/>
                <w:bCs/>
                <w:lang w:eastAsia="en-AU"/>
              </w:rPr>
            </w:pPr>
            <w:r w:rsidRPr="00372EB4">
              <w:rPr>
                <w:b/>
                <w:bCs/>
                <w:lang w:eastAsia="en-AU"/>
              </w:rPr>
              <w:t>Agree or strongly agree</w:t>
            </w:r>
          </w:p>
        </w:tc>
      </w:tr>
      <w:tr w:rsidR="00372EB4" w:rsidRPr="005825E6" w14:paraId="0A9993DB"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5FFB489" w14:textId="77777777" w:rsidR="00372EB4" w:rsidRPr="005825E6" w:rsidRDefault="00372EB4" w:rsidP="00372EB4">
            <w:pPr>
              <w:rPr>
                <w:lang w:eastAsia="en-AU"/>
              </w:rPr>
            </w:pPr>
            <w:r w:rsidRPr="005825E6">
              <w:rPr>
                <w:lang w:eastAsia="en-AU"/>
              </w:rPr>
              <w:t>NDIS Commission Practice Guides</w:t>
            </w:r>
          </w:p>
        </w:tc>
        <w:tc>
          <w:tcPr>
            <w:tcW w:w="1843" w:type="dxa"/>
            <w:tcBorders>
              <w:top w:val="nil"/>
              <w:left w:val="nil"/>
              <w:bottom w:val="single" w:sz="4" w:space="0" w:color="auto"/>
              <w:right w:val="single" w:sz="4" w:space="0" w:color="auto"/>
            </w:tcBorders>
            <w:shd w:val="clear" w:color="auto" w:fill="auto"/>
            <w:noWrap/>
            <w:vAlign w:val="center"/>
            <w:hideMark/>
          </w:tcPr>
          <w:p w14:paraId="7DBDD018" w14:textId="77777777" w:rsidR="00372EB4" w:rsidRPr="005825E6" w:rsidRDefault="00372EB4" w:rsidP="00372EB4">
            <w:pPr>
              <w:rPr>
                <w:lang w:eastAsia="en-AU"/>
              </w:rPr>
            </w:pPr>
            <w:r w:rsidRPr="005825E6">
              <w:rPr>
                <w:lang w:eastAsia="en-AU"/>
              </w:rPr>
              <w:t>20</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75E5313C" w14:textId="77777777" w:rsidR="00372EB4" w:rsidRPr="005825E6" w:rsidRDefault="00372EB4" w:rsidP="00372EB4">
            <w:pPr>
              <w:rPr>
                <w:lang w:eastAsia="en-AU"/>
              </w:rPr>
            </w:pPr>
            <w:r w:rsidRPr="005825E6">
              <w:rPr>
                <w:lang w:eastAsia="en-AU"/>
              </w:rPr>
              <w:t>36</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749EC933" w14:textId="77777777" w:rsidR="00372EB4" w:rsidRPr="005825E6" w:rsidRDefault="00372EB4" w:rsidP="00372EB4">
            <w:pPr>
              <w:rPr>
                <w:lang w:eastAsia="en-AU"/>
              </w:rPr>
            </w:pPr>
            <w:r w:rsidRPr="005825E6">
              <w:rPr>
                <w:lang w:eastAsia="en-AU"/>
              </w:rPr>
              <w:t>45</w:t>
            </w:r>
            <w:r>
              <w:rPr>
                <w:lang w:eastAsia="en-AU"/>
              </w:rPr>
              <w:t xml:space="preserve"> per cent</w:t>
            </w:r>
          </w:p>
        </w:tc>
      </w:tr>
      <w:tr w:rsidR="00372EB4" w:rsidRPr="005825E6" w14:paraId="5059F1D0"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0C9E272" w14:textId="77777777" w:rsidR="00372EB4" w:rsidRPr="005825E6" w:rsidRDefault="00372EB4" w:rsidP="00372EB4">
            <w:pPr>
              <w:rPr>
                <w:lang w:eastAsia="en-AU"/>
              </w:rPr>
            </w:pPr>
            <w:r w:rsidRPr="005825E6">
              <w:rPr>
                <w:lang w:eastAsia="en-AU"/>
              </w:rPr>
              <w:t xml:space="preserve">Registered NDIS provider </w:t>
            </w:r>
            <w:proofErr w:type="gramStart"/>
            <w:r w:rsidRPr="005825E6">
              <w:rPr>
                <w:lang w:eastAsia="en-AU"/>
              </w:rPr>
              <w:t>notice</w:t>
            </w:r>
            <w:proofErr w:type="gramEnd"/>
            <w:r w:rsidRPr="005825E6">
              <w:rPr>
                <w:lang w:eastAsia="en-AU"/>
              </w:rPr>
              <w:t xml:space="preserve"> of changes and events</w:t>
            </w:r>
          </w:p>
        </w:tc>
        <w:tc>
          <w:tcPr>
            <w:tcW w:w="1843" w:type="dxa"/>
            <w:tcBorders>
              <w:top w:val="nil"/>
              <w:left w:val="nil"/>
              <w:bottom w:val="single" w:sz="4" w:space="0" w:color="auto"/>
              <w:right w:val="single" w:sz="4" w:space="0" w:color="auto"/>
            </w:tcBorders>
            <w:shd w:val="clear" w:color="auto" w:fill="auto"/>
            <w:noWrap/>
            <w:vAlign w:val="center"/>
            <w:hideMark/>
          </w:tcPr>
          <w:p w14:paraId="1C00F77F" w14:textId="77777777" w:rsidR="00372EB4" w:rsidRPr="005825E6" w:rsidRDefault="00372EB4" w:rsidP="00372EB4">
            <w:pPr>
              <w:rPr>
                <w:lang w:eastAsia="en-AU"/>
              </w:rPr>
            </w:pPr>
            <w:r w:rsidRPr="005825E6">
              <w:rPr>
                <w:lang w:eastAsia="en-AU"/>
              </w:rPr>
              <w:t>29</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C2392EF" w14:textId="77777777" w:rsidR="00372EB4" w:rsidRPr="005825E6" w:rsidRDefault="00372EB4" w:rsidP="00372EB4">
            <w:pPr>
              <w:rPr>
                <w:lang w:eastAsia="en-AU"/>
              </w:rPr>
            </w:pPr>
            <w:r w:rsidRPr="005825E6">
              <w:rPr>
                <w:lang w:eastAsia="en-AU"/>
              </w:rPr>
              <w:t>41</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2BC8C5D3" w14:textId="77777777" w:rsidR="00372EB4" w:rsidRPr="005825E6" w:rsidRDefault="00372EB4" w:rsidP="00372EB4">
            <w:pPr>
              <w:rPr>
                <w:lang w:eastAsia="en-AU"/>
              </w:rPr>
            </w:pPr>
            <w:r w:rsidRPr="005825E6">
              <w:rPr>
                <w:lang w:eastAsia="en-AU"/>
              </w:rPr>
              <w:t>30</w:t>
            </w:r>
            <w:r>
              <w:rPr>
                <w:lang w:eastAsia="en-AU"/>
              </w:rPr>
              <w:t xml:space="preserve"> per cent</w:t>
            </w:r>
          </w:p>
        </w:tc>
      </w:tr>
      <w:tr w:rsidR="00372EB4" w:rsidRPr="005825E6" w14:paraId="7318B037" w14:textId="77777777" w:rsidTr="00887293">
        <w:trPr>
          <w:trHeight w:val="9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59EA150" w14:textId="77777777" w:rsidR="00372EB4" w:rsidRPr="005825E6" w:rsidRDefault="00372EB4" w:rsidP="00372EB4">
            <w:pPr>
              <w:rPr>
                <w:lang w:eastAsia="en-AU"/>
              </w:rPr>
            </w:pPr>
            <w:r w:rsidRPr="005825E6">
              <w:rPr>
                <w:lang w:eastAsia="en-AU"/>
              </w:rPr>
              <w:t>Behavio</w:t>
            </w:r>
            <w:r>
              <w:rPr>
                <w:lang w:eastAsia="en-AU"/>
              </w:rPr>
              <w:t>u</w:t>
            </w:r>
            <w:r w:rsidRPr="005825E6">
              <w:rPr>
                <w:lang w:eastAsia="en-AU"/>
              </w:rPr>
              <w:t>r support requirements, to reduce and eliminate restrictive practices</w:t>
            </w:r>
          </w:p>
        </w:tc>
        <w:tc>
          <w:tcPr>
            <w:tcW w:w="1843" w:type="dxa"/>
            <w:tcBorders>
              <w:top w:val="nil"/>
              <w:left w:val="nil"/>
              <w:bottom w:val="single" w:sz="4" w:space="0" w:color="auto"/>
              <w:right w:val="single" w:sz="4" w:space="0" w:color="auto"/>
            </w:tcBorders>
            <w:shd w:val="clear" w:color="auto" w:fill="auto"/>
            <w:noWrap/>
            <w:vAlign w:val="center"/>
            <w:hideMark/>
          </w:tcPr>
          <w:p w14:paraId="519F515A" w14:textId="77777777" w:rsidR="00372EB4" w:rsidRPr="005825E6" w:rsidRDefault="00372EB4" w:rsidP="00372EB4">
            <w:pPr>
              <w:rPr>
                <w:lang w:eastAsia="en-AU"/>
              </w:rPr>
            </w:pPr>
            <w:r w:rsidRPr="005825E6">
              <w:rPr>
                <w:lang w:eastAsia="en-AU"/>
              </w:rPr>
              <w:t>23</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800DAFC" w14:textId="77777777" w:rsidR="00372EB4" w:rsidRPr="005825E6" w:rsidRDefault="00372EB4" w:rsidP="00372EB4">
            <w:pPr>
              <w:rPr>
                <w:lang w:eastAsia="en-AU"/>
              </w:rPr>
            </w:pPr>
            <w:r w:rsidRPr="005825E6">
              <w:rPr>
                <w:lang w:eastAsia="en-AU"/>
              </w:rPr>
              <w:t>25</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03DDE7F7" w14:textId="77777777" w:rsidR="00372EB4" w:rsidRPr="005825E6" w:rsidRDefault="00372EB4" w:rsidP="00372EB4">
            <w:pPr>
              <w:rPr>
                <w:lang w:eastAsia="en-AU"/>
              </w:rPr>
            </w:pPr>
            <w:r w:rsidRPr="005825E6">
              <w:rPr>
                <w:lang w:eastAsia="en-AU"/>
              </w:rPr>
              <w:t>52</w:t>
            </w:r>
            <w:r>
              <w:rPr>
                <w:lang w:eastAsia="en-AU"/>
              </w:rPr>
              <w:t xml:space="preserve"> per cent</w:t>
            </w:r>
          </w:p>
        </w:tc>
      </w:tr>
      <w:tr w:rsidR="00372EB4" w:rsidRPr="005825E6" w14:paraId="1D4E3BDB"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52D24BF" w14:textId="77777777" w:rsidR="00372EB4" w:rsidRPr="005825E6" w:rsidRDefault="00372EB4" w:rsidP="00372EB4">
            <w:pPr>
              <w:rPr>
                <w:lang w:eastAsia="en-AU"/>
              </w:rPr>
            </w:pPr>
            <w:r w:rsidRPr="005825E6">
              <w:rPr>
                <w:lang w:eastAsia="en-AU"/>
              </w:rPr>
              <w:t>Incident Management and Reportable Incidents</w:t>
            </w:r>
          </w:p>
        </w:tc>
        <w:tc>
          <w:tcPr>
            <w:tcW w:w="1843" w:type="dxa"/>
            <w:tcBorders>
              <w:top w:val="nil"/>
              <w:left w:val="nil"/>
              <w:bottom w:val="single" w:sz="4" w:space="0" w:color="auto"/>
              <w:right w:val="single" w:sz="4" w:space="0" w:color="auto"/>
            </w:tcBorders>
            <w:shd w:val="clear" w:color="auto" w:fill="auto"/>
            <w:noWrap/>
            <w:vAlign w:val="center"/>
            <w:hideMark/>
          </w:tcPr>
          <w:p w14:paraId="7FE7631D" w14:textId="77777777" w:rsidR="00372EB4" w:rsidRPr="005825E6" w:rsidRDefault="00372EB4" w:rsidP="00372EB4">
            <w:pPr>
              <w:rPr>
                <w:lang w:eastAsia="en-AU"/>
              </w:rPr>
            </w:pPr>
            <w:r w:rsidRPr="005825E6">
              <w:rPr>
                <w:lang w:eastAsia="en-AU"/>
              </w:rPr>
              <w:t>19</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AD2446C" w14:textId="77777777" w:rsidR="00372EB4" w:rsidRPr="005825E6" w:rsidRDefault="00372EB4" w:rsidP="00372EB4">
            <w:pPr>
              <w:rPr>
                <w:lang w:eastAsia="en-AU"/>
              </w:rPr>
            </w:pPr>
            <w:r w:rsidRPr="005825E6">
              <w:rPr>
                <w:lang w:eastAsia="en-AU"/>
              </w:rPr>
              <w:t>20</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1F97CADD" w14:textId="77777777" w:rsidR="00372EB4" w:rsidRPr="005825E6" w:rsidRDefault="00372EB4" w:rsidP="00372EB4">
            <w:pPr>
              <w:rPr>
                <w:lang w:eastAsia="en-AU"/>
              </w:rPr>
            </w:pPr>
            <w:r w:rsidRPr="005825E6">
              <w:rPr>
                <w:lang w:eastAsia="en-AU"/>
              </w:rPr>
              <w:t>61</w:t>
            </w:r>
            <w:r>
              <w:rPr>
                <w:lang w:eastAsia="en-AU"/>
              </w:rPr>
              <w:t xml:space="preserve"> per cent</w:t>
            </w:r>
          </w:p>
        </w:tc>
      </w:tr>
      <w:tr w:rsidR="00372EB4" w:rsidRPr="005825E6" w14:paraId="29734E6E" w14:textId="77777777" w:rsidTr="00887293">
        <w:trPr>
          <w:trHeight w:val="9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D5B038B" w14:textId="77777777" w:rsidR="00372EB4" w:rsidRPr="005825E6" w:rsidRDefault="00372EB4" w:rsidP="00372EB4">
            <w:pPr>
              <w:rPr>
                <w:lang w:eastAsia="en-AU"/>
              </w:rPr>
            </w:pPr>
            <w:r w:rsidRPr="005825E6">
              <w:rPr>
                <w:lang w:eastAsia="en-AU"/>
              </w:rPr>
              <w:lastRenderedPageBreak/>
              <w:t>Complaints management and dispute resolution in relation to our service</w:t>
            </w:r>
          </w:p>
        </w:tc>
        <w:tc>
          <w:tcPr>
            <w:tcW w:w="1843" w:type="dxa"/>
            <w:tcBorders>
              <w:top w:val="nil"/>
              <w:left w:val="nil"/>
              <w:bottom w:val="single" w:sz="4" w:space="0" w:color="auto"/>
              <w:right w:val="single" w:sz="4" w:space="0" w:color="auto"/>
            </w:tcBorders>
            <w:shd w:val="clear" w:color="auto" w:fill="auto"/>
            <w:noWrap/>
            <w:vAlign w:val="center"/>
            <w:hideMark/>
          </w:tcPr>
          <w:p w14:paraId="07A3D42D" w14:textId="77777777" w:rsidR="00372EB4" w:rsidRPr="005825E6" w:rsidRDefault="00372EB4" w:rsidP="00372EB4">
            <w:pPr>
              <w:rPr>
                <w:lang w:eastAsia="en-AU"/>
              </w:rPr>
            </w:pPr>
            <w:r w:rsidRPr="005825E6">
              <w:rPr>
                <w:lang w:eastAsia="en-AU"/>
              </w:rPr>
              <w:t>19</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330F6C4F" w14:textId="77777777" w:rsidR="00372EB4" w:rsidRPr="005825E6" w:rsidRDefault="00372EB4" w:rsidP="00372EB4">
            <w:pPr>
              <w:rPr>
                <w:lang w:eastAsia="en-AU"/>
              </w:rPr>
            </w:pPr>
            <w:r w:rsidRPr="005825E6">
              <w:rPr>
                <w:lang w:eastAsia="en-AU"/>
              </w:rPr>
              <w:t>24</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71BAE1BF" w14:textId="77777777" w:rsidR="00372EB4" w:rsidRPr="005825E6" w:rsidRDefault="00372EB4" w:rsidP="00372EB4">
            <w:pPr>
              <w:rPr>
                <w:lang w:eastAsia="en-AU"/>
              </w:rPr>
            </w:pPr>
            <w:r w:rsidRPr="005825E6">
              <w:rPr>
                <w:lang w:eastAsia="en-AU"/>
              </w:rPr>
              <w:t>57</w:t>
            </w:r>
            <w:r>
              <w:rPr>
                <w:lang w:eastAsia="en-AU"/>
              </w:rPr>
              <w:t xml:space="preserve"> per cent</w:t>
            </w:r>
          </w:p>
        </w:tc>
      </w:tr>
      <w:tr w:rsidR="00372EB4" w:rsidRPr="005825E6" w14:paraId="548BDA38"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794971F" w14:textId="77777777" w:rsidR="00372EB4" w:rsidRPr="005825E6" w:rsidRDefault="00372EB4" w:rsidP="00372EB4">
            <w:pPr>
              <w:rPr>
                <w:lang w:eastAsia="en-AU"/>
              </w:rPr>
            </w:pPr>
            <w:r w:rsidRPr="005825E6">
              <w:rPr>
                <w:lang w:eastAsia="en-AU"/>
              </w:rPr>
              <w:t>NDIS Practice Standards Auditing</w:t>
            </w:r>
          </w:p>
        </w:tc>
        <w:tc>
          <w:tcPr>
            <w:tcW w:w="1843" w:type="dxa"/>
            <w:tcBorders>
              <w:top w:val="nil"/>
              <w:left w:val="nil"/>
              <w:bottom w:val="single" w:sz="4" w:space="0" w:color="auto"/>
              <w:right w:val="single" w:sz="4" w:space="0" w:color="auto"/>
            </w:tcBorders>
            <w:shd w:val="clear" w:color="auto" w:fill="auto"/>
            <w:noWrap/>
            <w:vAlign w:val="center"/>
            <w:hideMark/>
          </w:tcPr>
          <w:p w14:paraId="2A764CD7" w14:textId="77777777" w:rsidR="00372EB4" w:rsidRPr="005825E6" w:rsidRDefault="00372EB4" w:rsidP="00372EB4">
            <w:pPr>
              <w:rPr>
                <w:lang w:eastAsia="en-AU"/>
              </w:rPr>
            </w:pPr>
            <w:r w:rsidRPr="005825E6">
              <w:rPr>
                <w:lang w:eastAsia="en-AU"/>
              </w:rPr>
              <w:t>22</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176EA003" w14:textId="77777777" w:rsidR="00372EB4" w:rsidRPr="005825E6" w:rsidRDefault="00372EB4" w:rsidP="00372EB4">
            <w:pPr>
              <w:rPr>
                <w:lang w:eastAsia="en-AU"/>
              </w:rPr>
            </w:pPr>
            <w:r w:rsidRPr="005825E6">
              <w:rPr>
                <w:lang w:eastAsia="en-AU"/>
              </w:rPr>
              <w:t>16</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09FD46A5" w14:textId="77777777" w:rsidR="00372EB4" w:rsidRPr="005825E6" w:rsidRDefault="00372EB4" w:rsidP="00372EB4">
            <w:pPr>
              <w:rPr>
                <w:lang w:eastAsia="en-AU"/>
              </w:rPr>
            </w:pPr>
            <w:r w:rsidRPr="005825E6">
              <w:rPr>
                <w:lang w:eastAsia="en-AU"/>
              </w:rPr>
              <w:t>62</w:t>
            </w:r>
            <w:r>
              <w:rPr>
                <w:lang w:eastAsia="en-AU"/>
              </w:rPr>
              <w:t xml:space="preserve"> per cent</w:t>
            </w:r>
          </w:p>
        </w:tc>
      </w:tr>
      <w:tr w:rsidR="00372EB4" w:rsidRPr="005825E6" w14:paraId="1F4E7C90"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43F6B9D" w14:textId="77777777" w:rsidR="00372EB4" w:rsidRPr="005825E6" w:rsidRDefault="00372EB4" w:rsidP="00372EB4">
            <w:pPr>
              <w:rPr>
                <w:lang w:eastAsia="en-AU"/>
              </w:rPr>
            </w:pPr>
            <w:r w:rsidRPr="005825E6">
              <w:rPr>
                <w:lang w:eastAsia="en-AU"/>
              </w:rPr>
              <w:t>Full Worker Screening requirements</w:t>
            </w:r>
          </w:p>
        </w:tc>
        <w:tc>
          <w:tcPr>
            <w:tcW w:w="1843" w:type="dxa"/>
            <w:tcBorders>
              <w:top w:val="nil"/>
              <w:left w:val="nil"/>
              <w:bottom w:val="single" w:sz="4" w:space="0" w:color="auto"/>
              <w:right w:val="single" w:sz="4" w:space="0" w:color="auto"/>
            </w:tcBorders>
            <w:shd w:val="clear" w:color="auto" w:fill="auto"/>
            <w:noWrap/>
            <w:vAlign w:val="center"/>
            <w:hideMark/>
          </w:tcPr>
          <w:p w14:paraId="601034A2" w14:textId="77777777" w:rsidR="00372EB4" w:rsidRPr="005825E6" w:rsidRDefault="00372EB4" w:rsidP="00372EB4">
            <w:pPr>
              <w:rPr>
                <w:lang w:eastAsia="en-AU"/>
              </w:rPr>
            </w:pPr>
            <w:r w:rsidRPr="005825E6">
              <w:rPr>
                <w:lang w:eastAsia="en-AU"/>
              </w:rPr>
              <w:t>7</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68C01972" w14:textId="77777777" w:rsidR="00372EB4" w:rsidRPr="005825E6" w:rsidRDefault="00372EB4" w:rsidP="00372EB4">
            <w:pPr>
              <w:rPr>
                <w:lang w:eastAsia="en-AU"/>
              </w:rPr>
            </w:pPr>
            <w:r w:rsidRPr="005825E6">
              <w:rPr>
                <w:lang w:eastAsia="en-AU"/>
              </w:rPr>
              <w:t>11</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2C9D0827" w14:textId="77777777" w:rsidR="00372EB4" w:rsidRPr="005825E6" w:rsidRDefault="00372EB4" w:rsidP="00372EB4">
            <w:pPr>
              <w:rPr>
                <w:lang w:eastAsia="en-AU"/>
              </w:rPr>
            </w:pPr>
            <w:r w:rsidRPr="005825E6">
              <w:rPr>
                <w:lang w:eastAsia="en-AU"/>
              </w:rPr>
              <w:t>81</w:t>
            </w:r>
            <w:r>
              <w:rPr>
                <w:lang w:eastAsia="en-AU"/>
              </w:rPr>
              <w:t xml:space="preserve"> per cent</w:t>
            </w:r>
          </w:p>
        </w:tc>
      </w:tr>
      <w:tr w:rsidR="00372EB4" w:rsidRPr="005825E6" w14:paraId="1C994AA1" w14:textId="77777777" w:rsidTr="00887293">
        <w:trPr>
          <w:trHeight w:val="6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0D633A" w14:textId="77777777" w:rsidR="00372EB4" w:rsidRPr="005825E6" w:rsidRDefault="00372EB4" w:rsidP="00372EB4">
            <w:pPr>
              <w:rPr>
                <w:lang w:eastAsia="en-AU"/>
              </w:rPr>
            </w:pPr>
            <w:r w:rsidRPr="005825E6">
              <w:rPr>
                <w:lang w:eastAsia="en-AU"/>
              </w:rPr>
              <w:t>New Worker - NDIS Induction Modules</w:t>
            </w:r>
          </w:p>
        </w:tc>
        <w:tc>
          <w:tcPr>
            <w:tcW w:w="1843" w:type="dxa"/>
            <w:tcBorders>
              <w:top w:val="nil"/>
              <w:left w:val="nil"/>
              <w:bottom w:val="single" w:sz="4" w:space="0" w:color="auto"/>
              <w:right w:val="single" w:sz="4" w:space="0" w:color="auto"/>
            </w:tcBorders>
            <w:shd w:val="clear" w:color="auto" w:fill="auto"/>
            <w:noWrap/>
            <w:vAlign w:val="center"/>
            <w:hideMark/>
          </w:tcPr>
          <w:p w14:paraId="19A4636B" w14:textId="77777777" w:rsidR="00372EB4" w:rsidRPr="005825E6" w:rsidRDefault="00372EB4" w:rsidP="00372EB4">
            <w:pPr>
              <w:rPr>
                <w:lang w:eastAsia="en-AU"/>
              </w:rPr>
            </w:pPr>
            <w:r w:rsidRPr="005825E6">
              <w:rPr>
                <w:lang w:eastAsia="en-AU"/>
              </w:rPr>
              <w:t>7</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5286ADF4" w14:textId="77777777" w:rsidR="00372EB4" w:rsidRPr="005825E6" w:rsidRDefault="00372EB4" w:rsidP="00372EB4">
            <w:pPr>
              <w:rPr>
                <w:lang w:eastAsia="en-AU"/>
              </w:rPr>
            </w:pPr>
            <w:r w:rsidRPr="005825E6">
              <w:rPr>
                <w:lang w:eastAsia="en-AU"/>
              </w:rPr>
              <w:t>25</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13CC3851" w14:textId="77777777" w:rsidR="00372EB4" w:rsidRPr="005825E6" w:rsidRDefault="00372EB4" w:rsidP="00372EB4">
            <w:pPr>
              <w:rPr>
                <w:lang w:eastAsia="en-AU"/>
              </w:rPr>
            </w:pPr>
            <w:r w:rsidRPr="005825E6">
              <w:rPr>
                <w:lang w:eastAsia="en-AU"/>
              </w:rPr>
              <w:t>68</w:t>
            </w:r>
            <w:r>
              <w:rPr>
                <w:lang w:eastAsia="en-AU"/>
              </w:rPr>
              <w:t xml:space="preserve"> per cent</w:t>
            </w:r>
          </w:p>
        </w:tc>
      </w:tr>
      <w:tr w:rsidR="00372EB4" w:rsidRPr="005825E6" w14:paraId="016CB83F" w14:textId="77777777" w:rsidTr="00887293">
        <w:trPr>
          <w:trHeight w:val="43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D0B5BD" w14:textId="77777777" w:rsidR="00372EB4" w:rsidRPr="005825E6" w:rsidRDefault="00372EB4" w:rsidP="00372EB4">
            <w:pPr>
              <w:rPr>
                <w:lang w:eastAsia="en-AU"/>
              </w:rPr>
            </w:pPr>
            <w:r w:rsidRPr="005825E6">
              <w:rPr>
                <w:lang w:eastAsia="en-AU"/>
              </w:rPr>
              <w:t>NDIS Code of Conduct</w:t>
            </w:r>
          </w:p>
        </w:tc>
        <w:tc>
          <w:tcPr>
            <w:tcW w:w="1843" w:type="dxa"/>
            <w:tcBorders>
              <w:top w:val="nil"/>
              <w:left w:val="nil"/>
              <w:bottom w:val="single" w:sz="4" w:space="0" w:color="auto"/>
              <w:right w:val="single" w:sz="4" w:space="0" w:color="auto"/>
            </w:tcBorders>
            <w:shd w:val="clear" w:color="auto" w:fill="auto"/>
            <w:noWrap/>
            <w:vAlign w:val="center"/>
            <w:hideMark/>
          </w:tcPr>
          <w:p w14:paraId="44D8F6CA" w14:textId="77777777" w:rsidR="00372EB4" w:rsidRPr="005825E6" w:rsidRDefault="00372EB4" w:rsidP="00372EB4">
            <w:pPr>
              <w:rPr>
                <w:lang w:eastAsia="en-AU"/>
              </w:rPr>
            </w:pPr>
            <w:r w:rsidRPr="005825E6">
              <w:rPr>
                <w:lang w:eastAsia="en-AU"/>
              </w:rPr>
              <w:t>7</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52808922" w14:textId="77777777" w:rsidR="00372EB4" w:rsidRPr="005825E6" w:rsidRDefault="00372EB4" w:rsidP="00372EB4">
            <w:pPr>
              <w:rPr>
                <w:lang w:eastAsia="en-AU"/>
              </w:rPr>
            </w:pPr>
            <w:r w:rsidRPr="005825E6">
              <w:rPr>
                <w:lang w:eastAsia="en-AU"/>
              </w:rPr>
              <w:t>19</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2819D0D1" w14:textId="77777777" w:rsidR="00372EB4" w:rsidRPr="005825E6" w:rsidRDefault="00372EB4" w:rsidP="00372EB4">
            <w:pPr>
              <w:rPr>
                <w:lang w:eastAsia="en-AU"/>
              </w:rPr>
            </w:pPr>
            <w:r w:rsidRPr="005825E6">
              <w:rPr>
                <w:lang w:eastAsia="en-AU"/>
              </w:rPr>
              <w:t>74</w:t>
            </w:r>
            <w:r>
              <w:rPr>
                <w:lang w:eastAsia="en-AU"/>
              </w:rPr>
              <w:t xml:space="preserve"> per cent</w:t>
            </w:r>
          </w:p>
        </w:tc>
      </w:tr>
      <w:tr w:rsidR="00372EB4" w:rsidRPr="005825E6" w14:paraId="0970BA21" w14:textId="77777777" w:rsidTr="00887293">
        <w:trPr>
          <w:trHeight w:val="9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2E505F4" w14:textId="77777777" w:rsidR="00372EB4" w:rsidRPr="005825E6" w:rsidRDefault="00372EB4" w:rsidP="00372EB4">
            <w:pPr>
              <w:rPr>
                <w:lang w:eastAsia="en-AU"/>
              </w:rPr>
            </w:pPr>
            <w:r w:rsidRPr="005825E6">
              <w:rPr>
                <w:lang w:eastAsia="en-AU"/>
              </w:rPr>
              <w:t>NDIS Worker Orientation Module (Quality, Safety and You)</w:t>
            </w:r>
          </w:p>
        </w:tc>
        <w:tc>
          <w:tcPr>
            <w:tcW w:w="1843" w:type="dxa"/>
            <w:tcBorders>
              <w:top w:val="nil"/>
              <w:left w:val="nil"/>
              <w:bottom w:val="single" w:sz="4" w:space="0" w:color="auto"/>
              <w:right w:val="single" w:sz="4" w:space="0" w:color="auto"/>
            </w:tcBorders>
            <w:shd w:val="clear" w:color="auto" w:fill="auto"/>
            <w:noWrap/>
            <w:vAlign w:val="center"/>
            <w:hideMark/>
          </w:tcPr>
          <w:p w14:paraId="67223CE7" w14:textId="77777777" w:rsidR="00372EB4" w:rsidRPr="005825E6" w:rsidRDefault="00372EB4" w:rsidP="00372EB4">
            <w:pPr>
              <w:rPr>
                <w:lang w:eastAsia="en-AU"/>
              </w:rPr>
            </w:pPr>
            <w:r w:rsidRPr="005825E6">
              <w:rPr>
                <w:lang w:eastAsia="en-AU"/>
              </w:rPr>
              <w:t>10</w:t>
            </w:r>
            <w:r>
              <w:rPr>
                <w:lang w:eastAsia="en-AU"/>
              </w:rPr>
              <w:t xml:space="preserve"> per cent</w:t>
            </w:r>
          </w:p>
        </w:tc>
        <w:tc>
          <w:tcPr>
            <w:tcW w:w="1701" w:type="dxa"/>
            <w:tcBorders>
              <w:top w:val="nil"/>
              <w:left w:val="nil"/>
              <w:bottom w:val="single" w:sz="4" w:space="0" w:color="auto"/>
              <w:right w:val="single" w:sz="4" w:space="0" w:color="auto"/>
            </w:tcBorders>
            <w:shd w:val="clear" w:color="auto" w:fill="auto"/>
            <w:noWrap/>
            <w:vAlign w:val="center"/>
            <w:hideMark/>
          </w:tcPr>
          <w:p w14:paraId="2787585D" w14:textId="77777777" w:rsidR="00372EB4" w:rsidRPr="005825E6" w:rsidRDefault="00372EB4" w:rsidP="00372EB4">
            <w:pPr>
              <w:rPr>
                <w:lang w:eastAsia="en-AU"/>
              </w:rPr>
            </w:pPr>
            <w:r w:rsidRPr="005825E6">
              <w:rPr>
                <w:lang w:eastAsia="en-AU"/>
              </w:rPr>
              <w:t>23</w:t>
            </w:r>
            <w:r>
              <w:rPr>
                <w:lang w:eastAsia="en-AU"/>
              </w:rPr>
              <w:t xml:space="preserve"> per cent</w:t>
            </w:r>
          </w:p>
        </w:tc>
        <w:tc>
          <w:tcPr>
            <w:tcW w:w="1843" w:type="dxa"/>
            <w:tcBorders>
              <w:top w:val="nil"/>
              <w:left w:val="nil"/>
              <w:bottom w:val="single" w:sz="4" w:space="0" w:color="auto"/>
              <w:right w:val="single" w:sz="4" w:space="0" w:color="auto"/>
            </w:tcBorders>
            <w:shd w:val="clear" w:color="auto" w:fill="auto"/>
            <w:noWrap/>
            <w:vAlign w:val="center"/>
            <w:hideMark/>
          </w:tcPr>
          <w:p w14:paraId="0E55B796" w14:textId="77777777" w:rsidR="00372EB4" w:rsidRPr="005825E6" w:rsidRDefault="00372EB4" w:rsidP="00372EB4">
            <w:pPr>
              <w:rPr>
                <w:lang w:eastAsia="en-AU"/>
              </w:rPr>
            </w:pPr>
            <w:r w:rsidRPr="005825E6">
              <w:rPr>
                <w:lang w:eastAsia="en-AU"/>
              </w:rPr>
              <w:t>67</w:t>
            </w:r>
            <w:r>
              <w:rPr>
                <w:lang w:eastAsia="en-AU"/>
              </w:rPr>
              <w:t xml:space="preserve"> per cent</w:t>
            </w:r>
          </w:p>
        </w:tc>
      </w:tr>
    </w:tbl>
    <w:p w14:paraId="61446A6A" w14:textId="77777777" w:rsidR="004316F3" w:rsidRDefault="00C56514" w:rsidP="00372EB4">
      <w:pPr>
        <w:spacing w:before="360"/>
        <w:rPr>
          <w:color w:val="000000" w:themeColor="text1"/>
          <w:lang w:val="en-US"/>
        </w:rPr>
      </w:pPr>
      <w:r>
        <w:rPr>
          <w:lang w:val="en-US"/>
        </w:rPr>
        <w:t>In</w:t>
      </w:r>
      <w:r w:rsidR="030AA18E" w:rsidRPr="644B5232">
        <w:rPr>
          <w:lang w:val="en-US"/>
        </w:rPr>
        <w:t xml:space="preserve"> open comments concerning the NDIS Quality and Safeguarding Framework, respondents frequently described the Framework and its reporting requirements as onerous, unclear and ineffective:</w:t>
      </w:r>
    </w:p>
    <w:p w14:paraId="09D83DCA" w14:textId="33D3D94F" w:rsidR="030AA18E" w:rsidRDefault="030AA18E" w:rsidP="00BB7E46">
      <w:pPr>
        <w:pStyle w:val="Quote"/>
        <w:rPr>
          <w:lang w:val="en-US"/>
        </w:rPr>
      </w:pPr>
      <w:r w:rsidRPr="6AD0082D">
        <w:rPr>
          <w:lang w:val="en-US"/>
        </w:rPr>
        <w:t>“Where multiple agencies are involved/or service users are admitted to hospital; the process for incident reporting is unclear.”</w:t>
      </w:r>
    </w:p>
    <w:p w14:paraId="69C1940D" w14:textId="77777777" w:rsidR="004316F3" w:rsidRDefault="030AA18E" w:rsidP="00BB7E46">
      <w:pPr>
        <w:pStyle w:val="QuoteAuthor"/>
        <w:rPr>
          <w:lang w:val="en-US"/>
        </w:rPr>
      </w:pPr>
      <w:r w:rsidRPr="6766CE18">
        <w:rPr>
          <w:lang w:val="en-US"/>
        </w:rPr>
        <w:t>V</w:t>
      </w:r>
      <w:r w:rsidR="00113F01" w:rsidRPr="6766CE18">
        <w:rPr>
          <w:lang w:val="en-US"/>
        </w:rPr>
        <w:t>ic</w:t>
      </w:r>
      <w:r w:rsidRPr="6AD0082D">
        <w:rPr>
          <w:lang w:val="en-US"/>
        </w:rPr>
        <w:t xml:space="preserve"> medium not-for-profit</w:t>
      </w:r>
    </w:p>
    <w:p w14:paraId="7D199A8C" w14:textId="518B5826" w:rsidR="030AA18E" w:rsidRDefault="030AA18E" w:rsidP="00BB7E46">
      <w:pPr>
        <w:pStyle w:val="Quote"/>
        <w:rPr>
          <w:lang w:val="en-US"/>
        </w:rPr>
      </w:pPr>
      <w:r w:rsidRPr="6AD0082D">
        <w:rPr>
          <w:lang w:val="en-US"/>
        </w:rPr>
        <w:t xml:space="preserve">“The NDIS Quality and Safeguards Commission </w:t>
      </w:r>
      <w:r w:rsidR="00EA5725">
        <w:rPr>
          <w:lang w:val="en-US"/>
        </w:rPr>
        <w:t>needs</w:t>
      </w:r>
      <w:r w:rsidRPr="6AD0082D">
        <w:rPr>
          <w:lang w:val="en-US"/>
        </w:rPr>
        <w:t xml:space="preserve"> to respond to concerns raised in a more efficient time frame, as when we have listed any concerns (fraud or suspicious </w:t>
      </w:r>
      <w:proofErr w:type="spellStart"/>
      <w:r w:rsidRPr="6AD0082D">
        <w:rPr>
          <w:lang w:val="en-US"/>
        </w:rPr>
        <w:t>behaviour</w:t>
      </w:r>
      <w:proofErr w:type="spellEnd"/>
      <w:r w:rsidRPr="6AD0082D">
        <w:rPr>
          <w:lang w:val="en-US"/>
        </w:rPr>
        <w:t>), they have taken a while to address.”</w:t>
      </w:r>
    </w:p>
    <w:p w14:paraId="044D507C" w14:textId="77777777" w:rsidR="004316F3" w:rsidRDefault="030AA18E" w:rsidP="00BB7E46">
      <w:pPr>
        <w:pStyle w:val="QuoteAuthor"/>
        <w:rPr>
          <w:lang w:val="en-US"/>
        </w:rPr>
      </w:pPr>
      <w:r w:rsidRPr="6766CE18">
        <w:rPr>
          <w:lang w:val="en-US"/>
        </w:rPr>
        <w:t>Q</w:t>
      </w:r>
      <w:r w:rsidR="00762B05" w:rsidRPr="6766CE18">
        <w:rPr>
          <w:lang w:val="en-US"/>
        </w:rPr>
        <w:t>ld</w:t>
      </w:r>
      <w:r w:rsidRPr="6AD0082D">
        <w:rPr>
          <w:lang w:val="en-US"/>
        </w:rPr>
        <w:t xml:space="preserve"> small not-for-profit</w:t>
      </w:r>
    </w:p>
    <w:p w14:paraId="585F4654" w14:textId="4259A64B" w:rsidR="030AA18E" w:rsidRDefault="030AA18E" w:rsidP="00BB7E46">
      <w:pPr>
        <w:pStyle w:val="Quote"/>
        <w:rPr>
          <w:lang w:val="en-US"/>
        </w:rPr>
      </w:pPr>
      <w:r w:rsidRPr="6AD0082D">
        <w:rPr>
          <w:lang w:val="en-US"/>
        </w:rPr>
        <w:lastRenderedPageBreak/>
        <w:t>“The Framework is a complex network of the framework plus all the other guides, materials and so on released by the Commission. The audit recertification process is clunky and consumes significant staff resources.”</w:t>
      </w:r>
    </w:p>
    <w:p w14:paraId="426DCA35" w14:textId="77777777" w:rsidR="004316F3" w:rsidRDefault="030AA18E" w:rsidP="00BB7E46">
      <w:pPr>
        <w:pStyle w:val="QuoteAuthor"/>
        <w:rPr>
          <w:lang w:val="en-US"/>
        </w:rPr>
      </w:pPr>
      <w:r w:rsidRPr="6766CE18">
        <w:rPr>
          <w:lang w:val="en-US"/>
        </w:rPr>
        <w:t>T</w:t>
      </w:r>
      <w:r w:rsidR="00762B05" w:rsidRPr="6766CE18">
        <w:rPr>
          <w:lang w:val="en-US"/>
        </w:rPr>
        <w:t>as</w:t>
      </w:r>
      <w:r w:rsidRPr="644B5232">
        <w:rPr>
          <w:lang w:val="en-US"/>
        </w:rPr>
        <w:t xml:space="preserve"> small not-for-profit</w:t>
      </w:r>
    </w:p>
    <w:p w14:paraId="3E006937" w14:textId="77777777" w:rsidR="004316F3" w:rsidRDefault="030AA18E" w:rsidP="0097062A">
      <w:pPr>
        <w:rPr>
          <w:color w:val="000000" w:themeColor="text1"/>
          <w:lang w:val="en-US"/>
        </w:rPr>
      </w:pPr>
      <w:r w:rsidRPr="644B5232">
        <w:rPr>
          <w:lang w:val="en-US"/>
        </w:rPr>
        <w:t>In contrast, several respondents described the Framework in terms of being comprehensive, effective and important:</w:t>
      </w:r>
    </w:p>
    <w:p w14:paraId="62EFA94C" w14:textId="2515523B" w:rsidR="030AA18E" w:rsidRDefault="030AA18E" w:rsidP="00BB7E46">
      <w:pPr>
        <w:pStyle w:val="Quote"/>
        <w:rPr>
          <w:lang w:val="en-US"/>
        </w:rPr>
      </w:pPr>
      <w:r w:rsidRPr="6AD0082D">
        <w:rPr>
          <w:lang w:val="en-US"/>
        </w:rPr>
        <w:t>“It is comprehensive and ensures compliance.”</w:t>
      </w:r>
    </w:p>
    <w:p w14:paraId="6628552F" w14:textId="77777777" w:rsidR="004316F3" w:rsidRDefault="030AA18E" w:rsidP="00BB7E46">
      <w:pPr>
        <w:pStyle w:val="QuoteAuthor"/>
        <w:rPr>
          <w:lang w:val="en-US"/>
        </w:rPr>
      </w:pPr>
      <w:r w:rsidRPr="6AD0082D">
        <w:rPr>
          <w:lang w:val="en-US"/>
        </w:rPr>
        <w:t>SA medium not-for-profit</w:t>
      </w:r>
    </w:p>
    <w:p w14:paraId="78E0CA3E" w14:textId="77777777" w:rsidR="004316F3" w:rsidRDefault="030AA18E" w:rsidP="00BB7E46">
      <w:pPr>
        <w:pStyle w:val="Quote"/>
        <w:rPr>
          <w:lang w:val="en-US"/>
        </w:rPr>
      </w:pPr>
      <w:r w:rsidRPr="6AD0082D">
        <w:rPr>
          <w:lang w:val="en-US"/>
        </w:rPr>
        <w:t>“Overall, the Complaint Management and Resolution System is a vital aspect of the NDIS Quality and Safeguarding Framework, with the potential to significantly enhance participant satisfaction and service quality, provided it is implemented and managed effectively.”</w:t>
      </w:r>
    </w:p>
    <w:p w14:paraId="4EA75CEB" w14:textId="2C5FF904" w:rsidR="004316F3" w:rsidRDefault="030AA18E" w:rsidP="00BB7E46">
      <w:pPr>
        <w:pStyle w:val="QuoteAuthor"/>
        <w:rPr>
          <w:lang w:val="en-US"/>
        </w:rPr>
      </w:pPr>
      <w:r w:rsidRPr="6AD0082D">
        <w:rPr>
          <w:lang w:val="en-US"/>
        </w:rPr>
        <w:t>NSW very small for-profit</w:t>
      </w:r>
    </w:p>
    <w:p w14:paraId="70B66DBB" w14:textId="3458D31A" w:rsidR="030AA18E" w:rsidRDefault="030AA18E" w:rsidP="00BB7E46">
      <w:pPr>
        <w:pStyle w:val="Quote"/>
        <w:rPr>
          <w:lang w:val="en-US"/>
        </w:rPr>
      </w:pPr>
      <w:r w:rsidRPr="6AD0082D">
        <w:rPr>
          <w:lang w:val="en-US"/>
        </w:rPr>
        <w:t>“Each regulatory instrument is important or valid.”</w:t>
      </w:r>
    </w:p>
    <w:p w14:paraId="15FFC1C0" w14:textId="383CBEFD" w:rsidR="030AA18E" w:rsidRDefault="030AA18E" w:rsidP="00BB7E46">
      <w:pPr>
        <w:pStyle w:val="QuoteAuthor"/>
        <w:rPr>
          <w:lang w:val="en-US"/>
        </w:rPr>
      </w:pPr>
      <w:r w:rsidRPr="6AD0082D">
        <w:rPr>
          <w:lang w:val="en-US"/>
        </w:rPr>
        <w:t>ACT medium not-for-profit</w:t>
      </w:r>
    </w:p>
    <w:p w14:paraId="549370AE" w14:textId="77777777" w:rsidR="004316F3" w:rsidRDefault="030AA18E" w:rsidP="0097062A">
      <w:pPr>
        <w:pStyle w:val="Heading3"/>
      </w:pPr>
      <w:r w:rsidRPr="0057377C">
        <w:t>Registration</w:t>
      </w:r>
    </w:p>
    <w:p w14:paraId="109D2FDB" w14:textId="77777777" w:rsidR="004316F3" w:rsidRDefault="030AA18E" w:rsidP="0097062A">
      <w:pPr>
        <w:rPr>
          <w:lang w:val="en-US"/>
        </w:rPr>
      </w:pPr>
      <w:r w:rsidRPr="644B5232">
        <w:rPr>
          <w:lang w:val="en-US"/>
        </w:rPr>
        <w:t xml:space="preserve">Three hundred and fifty registered providers answered questions about registration. </w:t>
      </w:r>
      <w:proofErr w:type="gramStart"/>
      <w:r w:rsidRPr="644B5232">
        <w:rPr>
          <w:lang w:val="en-US"/>
        </w:rPr>
        <w:t>Similar to</w:t>
      </w:r>
      <w:proofErr w:type="gramEnd"/>
      <w:r w:rsidRPr="644B5232">
        <w:rPr>
          <w:lang w:val="en-US"/>
        </w:rPr>
        <w:t xml:space="preserve"> last year, 19 per cent of respondents who are registered providers are considering dropping their registration with the NDIS Commission. Of the 22 respondents who are not registered providers, nine are </w:t>
      </w:r>
      <w:proofErr w:type="gramStart"/>
      <w:r w:rsidRPr="644B5232">
        <w:rPr>
          <w:lang w:val="en-US"/>
        </w:rPr>
        <w:t>considering</w:t>
      </w:r>
      <w:proofErr w:type="gramEnd"/>
      <w:r w:rsidRPr="644B5232">
        <w:rPr>
          <w:lang w:val="en-US"/>
        </w:rPr>
        <w:t xml:space="preserve"> becoming registered with the NDIS Commission and nine are not, while four are unsure.</w:t>
      </w:r>
    </w:p>
    <w:p w14:paraId="12DD0CDC" w14:textId="37569BA1" w:rsidR="004316F3" w:rsidRDefault="030AA18E" w:rsidP="0097062A">
      <w:pPr>
        <w:rPr>
          <w:color w:val="000000" w:themeColor="text1"/>
          <w:lang w:val="en-US"/>
        </w:rPr>
      </w:pPr>
      <w:r w:rsidRPr="644B5232">
        <w:rPr>
          <w:lang w:val="en-US"/>
        </w:rPr>
        <w:t>In free-text responses to factors influencing decisions about registration, many respondents described registration as important, necessary and beneficial:</w:t>
      </w:r>
    </w:p>
    <w:p w14:paraId="5928C253" w14:textId="05A4805C" w:rsidR="030AA18E" w:rsidRDefault="030AA18E" w:rsidP="00BB7E46">
      <w:pPr>
        <w:pStyle w:val="Quote"/>
        <w:rPr>
          <w:lang w:val="en-US"/>
        </w:rPr>
      </w:pPr>
      <w:r w:rsidRPr="6AD0082D">
        <w:rPr>
          <w:lang w:val="en-US"/>
        </w:rPr>
        <w:t>“Registration is important. The issue of unregistered providers is finally being addressed.”</w:t>
      </w:r>
    </w:p>
    <w:p w14:paraId="3A3D062C" w14:textId="77777777" w:rsidR="004316F3" w:rsidRDefault="030AA18E" w:rsidP="00BB7E46">
      <w:pPr>
        <w:pStyle w:val="QuoteAuthor"/>
        <w:rPr>
          <w:lang w:val="en-US"/>
        </w:rPr>
      </w:pPr>
      <w:r w:rsidRPr="6AD0082D">
        <w:rPr>
          <w:lang w:val="en-US"/>
        </w:rPr>
        <w:t>NSW medium for-profit</w:t>
      </w:r>
    </w:p>
    <w:p w14:paraId="4AF55A44" w14:textId="454319AE" w:rsidR="030AA18E" w:rsidRDefault="030AA18E" w:rsidP="00BB7E46">
      <w:pPr>
        <w:pStyle w:val="Quote"/>
        <w:rPr>
          <w:lang w:val="en-US"/>
        </w:rPr>
      </w:pPr>
      <w:r w:rsidRPr="6AD0082D">
        <w:rPr>
          <w:lang w:val="en-US"/>
        </w:rPr>
        <w:t>“We believe it remains important to be a registered provider.”</w:t>
      </w:r>
    </w:p>
    <w:p w14:paraId="14128212" w14:textId="77777777" w:rsidR="004316F3" w:rsidRDefault="030AA18E" w:rsidP="00BB7E46">
      <w:pPr>
        <w:pStyle w:val="QuoteAuthor"/>
        <w:rPr>
          <w:lang w:val="en-US"/>
        </w:rPr>
      </w:pPr>
      <w:r w:rsidRPr="6AD0082D">
        <w:rPr>
          <w:lang w:val="en-US"/>
        </w:rPr>
        <w:lastRenderedPageBreak/>
        <w:t>NT large not-for-profit</w:t>
      </w:r>
    </w:p>
    <w:p w14:paraId="591055D0" w14:textId="52229748" w:rsidR="030AA18E" w:rsidRDefault="030AA18E" w:rsidP="00BB7E46">
      <w:pPr>
        <w:pStyle w:val="Quote"/>
        <w:rPr>
          <w:lang w:val="en-US"/>
        </w:rPr>
      </w:pPr>
      <w:r w:rsidRPr="6AD0082D">
        <w:rPr>
          <w:lang w:val="en-US"/>
        </w:rPr>
        <w:t>“Necessary. We believe that it is essential for the whole industry.”</w:t>
      </w:r>
    </w:p>
    <w:p w14:paraId="24A47B9C" w14:textId="77777777" w:rsidR="004316F3" w:rsidRDefault="030AA18E" w:rsidP="00BB7E46">
      <w:pPr>
        <w:pStyle w:val="QuoteAuthor"/>
        <w:rPr>
          <w:lang w:val="en-US"/>
        </w:rPr>
      </w:pPr>
      <w:r w:rsidRPr="6AD0082D">
        <w:rPr>
          <w:lang w:val="en-US"/>
        </w:rPr>
        <w:t>NT medium not-for-profit</w:t>
      </w:r>
    </w:p>
    <w:p w14:paraId="1488B00C" w14:textId="2514A902" w:rsidR="030AA18E" w:rsidRDefault="030AA18E" w:rsidP="00ED2E59">
      <w:pPr>
        <w:pStyle w:val="Quote"/>
        <w:rPr>
          <w:lang w:val="en-US"/>
        </w:rPr>
      </w:pPr>
      <w:r w:rsidRPr="00ED2E59">
        <w:t>“Registration per se is beneficial to consumers and is a point of difference with</w:t>
      </w:r>
      <w:r w:rsidRPr="6AD0082D">
        <w:rPr>
          <w:lang w:val="en-US"/>
        </w:rPr>
        <w:t xml:space="preserve"> unregistered and one person providers.”</w:t>
      </w:r>
    </w:p>
    <w:p w14:paraId="4BA91403" w14:textId="77777777" w:rsidR="004316F3" w:rsidRDefault="030AA18E" w:rsidP="00BB7E46">
      <w:pPr>
        <w:pStyle w:val="QuoteAuthor"/>
        <w:rPr>
          <w:lang w:val="en-US"/>
        </w:rPr>
      </w:pPr>
      <w:r w:rsidRPr="6AD0082D">
        <w:rPr>
          <w:lang w:val="en-US"/>
        </w:rPr>
        <w:t>WA small not-for-profit</w:t>
      </w:r>
    </w:p>
    <w:p w14:paraId="3D638202" w14:textId="5526C6E5" w:rsidR="030AA18E" w:rsidRDefault="030AA18E" w:rsidP="00BB7E46">
      <w:pPr>
        <w:pStyle w:val="Quote"/>
        <w:rPr>
          <w:lang w:val="en-US"/>
        </w:rPr>
      </w:pPr>
      <w:r w:rsidRPr="6AD0082D">
        <w:rPr>
          <w:lang w:val="en-US"/>
        </w:rPr>
        <w:t>“We want to be bound by standards set for registered providers.”</w:t>
      </w:r>
    </w:p>
    <w:p w14:paraId="0D9E657C" w14:textId="77777777" w:rsidR="004316F3" w:rsidRDefault="030AA18E" w:rsidP="00BB7E46">
      <w:pPr>
        <w:pStyle w:val="QuoteAuthor"/>
        <w:rPr>
          <w:lang w:val="en-US"/>
        </w:rPr>
      </w:pPr>
      <w:r w:rsidRPr="6AD0082D">
        <w:rPr>
          <w:lang w:val="en-US"/>
        </w:rPr>
        <w:t>WA medium for-profit</w:t>
      </w:r>
    </w:p>
    <w:p w14:paraId="5D1B5163" w14:textId="3071823F" w:rsidR="030AA18E" w:rsidRDefault="030AA18E" w:rsidP="00BB7E46">
      <w:pPr>
        <w:pStyle w:val="Quote"/>
        <w:rPr>
          <w:lang w:val="en-US"/>
        </w:rPr>
      </w:pPr>
      <w:r w:rsidRPr="6AD0082D">
        <w:rPr>
          <w:lang w:val="en-US"/>
        </w:rPr>
        <w:t>“We believe the registration is an important part of our quality and safeguarding frameworks.”</w:t>
      </w:r>
    </w:p>
    <w:p w14:paraId="175B9882" w14:textId="77777777" w:rsidR="004316F3" w:rsidRDefault="030AA18E" w:rsidP="00BB7E46">
      <w:pPr>
        <w:pStyle w:val="QuoteAuthor"/>
        <w:rPr>
          <w:lang w:val="en-US"/>
        </w:rPr>
      </w:pPr>
      <w:r w:rsidRPr="6AD0082D">
        <w:rPr>
          <w:lang w:val="en-US"/>
        </w:rPr>
        <w:t>ACT large not-for-profit</w:t>
      </w:r>
    </w:p>
    <w:p w14:paraId="1E66AFAE" w14:textId="77777777" w:rsidR="004316F3" w:rsidRDefault="030AA18E" w:rsidP="00ED2E59">
      <w:pPr>
        <w:spacing w:before="240"/>
        <w:rPr>
          <w:lang w:val="en-US"/>
        </w:rPr>
      </w:pPr>
      <w:r w:rsidRPr="6AD0082D">
        <w:rPr>
          <w:lang w:val="en-US"/>
        </w:rPr>
        <w:t>Many respondents described registration as burdensome, complex and costly:</w:t>
      </w:r>
    </w:p>
    <w:p w14:paraId="77B9E6DE" w14:textId="2FF67EAE" w:rsidR="030AA18E" w:rsidRDefault="030AA18E" w:rsidP="00BB7E46">
      <w:pPr>
        <w:pStyle w:val="Quote"/>
        <w:rPr>
          <w:lang w:val="en-US"/>
        </w:rPr>
      </w:pPr>
      <w:r w:rsidRPr="6AD0082D">
        <w:rPr>
          <w:lang w:val="en-US"/>
        </w:rPr>
        <w:t>“The hoops and cost are challenging.”</w:t>
      </w:r>
    </w:p>
    <w:p w14:paraId="7BFA1DFF" w14:textId="77777777" w:rsidR="004316F3" w:rsidRDefault="030AA18E" w:rsidP="00BB7E46">
      <w:pPr>
        <w:pStyle w:val="QuoteAuthor"/>
        <w:rPr>
          <w:lang w:val="en-US"/>
        </w:rPr>
      </w:pPr>
      <w:r w:rsidRPr="6AD0082D">
        <w:rPr>
          <w:lang w:val="en-US"/>
        </w:rPr>
        <w:t>WA large not-for-profit</w:t>
      </w:r>
    </w:p>
    <w:p w14:paraId="5295E77B" w14:textId="646E7136" w:rsidR="030AA18E" w:rsidRDefault="030AA18E" w:rsidP="00BB7E46">
      <w:pPr>
        <w:pStyle w:val="Quote"/>
        <w:rPr>
          <w:lang w:val="en-US"/>
        </w:rPr>
      </w:pPr>
      <w:r w:rsidRPr="6AD0082D">
        <w:rPr>
          <w:lang w:val="en-US"/>
        </w:rPr>
        <w:t>“Administrative burden: the complexity and administrative demands of maintaining registration can be overwhelming.”</w:t>
      </w:r>
    </w:p>
    <w:p w14:paraId="3A10DBC8" w14:textId="77777777" w:rsidR="004316F3" w:rsidRDefault="030AA18E" w:rsidP="00BB7E46">
      <w:pPr>
        <w:pStyle w:val="QuoteAuthor"/>
        <w:rPr>
          <w:lang w:val="en-US"/>
        </w:rPr>
      </w:pPr>
      <w:r w:rsidRPr="6AD0082D">
        <w:rPr>
          <w:lang w:val="en-US"/>
        </w:rPr>
        <w:t>NSW very small for-profit</w:t>
      </w:r>
    </w:p>
    <w:p w14:paraId="1AD90D51" w14:textId="455DC9BB" w:rsidR="030AA18E" w:rsidRDefault="030AA18E" w:rsidP="00BB7E46">
      <w:pPr>
        <w:pStyle w:val="Quote"/>
        <w:rPr>
          <w:lang w:val="en-US"/>
        </w:rPr>
      </w:pPr>
      <w:r w:rsidRPr="6AD0082D">
        <w:rPr>
          <w:lang w:val="en-US"/>
        </w:rPr>
        <w:t>“Costly and unfair to be registered.”</w:t>
      </w:r>
    </w:p>
    <w:p w14:paraId="42B6B775" w14:textId="77777777" w:rsidR="004316F3" w:rsidRDefault="030AA18E" w:rsidP="00BB7E46">
      <w:pPr>
        <w:pStyle w:val="QuoteAuthor"/>
        <w:rPr>
          <w:lang w:val="en-US"/>
        </w:rPr>
      </w:pPr>
      <w:r w:rsidRPr="6AD0082D">
        <w:rPr>
          <w:lang w:val="en-US"/>
        </w:rPr>
        <w:t>WA medium for-profit</w:t>
      </w:r>
    </w:p>
    <w:p w14:paraId="6D433C08" w14:textId="33CC611F" w:rsidR="030AA18E" w:rsidRDefault="030AA18E" w:rsidP="00BB7E46">
      <w:pPr>
        <w:pStyle w:val="Quote"/>
        <w:rPr>
          <w:lang w:val="en-US"/>
        </w:rPr>
      </w:pPr>
      <w:r w:rsidRPr="6AD0082D">
        <w:rPr>
          <w:lang w:val="en-US"/>
        </w:rPr>
        <w:t>“The cost of registration is significant for a small business.”</w:t>
      </w:r>
    </w:p>
    <w:p w14:paraId="4485CA11" w14:textId="77777777" w:rsidR="004316F3" w:rsidRDefault="030AA18E" w:rsidP="00BB7E46">
      <w:pPr>
        <w:pStyle w:val="QuoteAuthor"/>
        <w:rPr>
          <w:lang w:val="en-US"/>
        </w:rPr>
      </w:pPr>
      <w:r w:rsidRPr="6AD0082D">
        <w:rPr>
          <w:lang w:val="en-US"/>
        </w:rPr>
        <w:t xml:space="preserve">SA </w:t>
      </w:r>
      <w:proofErr w:type="gramStart"/>
      <w:r w:rsidRPr="6AD0082D">
        <w:rPr>
          <w:lang w:val="en-US"/>
        </w:rPr>
        <w:t>small for-</w:t>
      </w:r>
      <w:proofErr w:type="gramEnd"/>
      <w:r w:rsidRPr="6AD0082D">
        <w:rPr>
          <w:lang w:val="en-US"/>
        </w:rPr>
        <w:t>profit</w:t>
      </w:r>
    </w:p>
    <w:p w14:paraId="02810CEC" w14:textId="77777777" w:rsidR="004316F3" w:rsidRDefault="030AA18E" w:rsidP="00ED2E59">
      <w:pPr>
        <w:spacing w:before="240"/>
        <w:rPr>
          <w:lang w:val="en-US"/>
        </w:rPr>
      </w:pPr>
      <w:r w:rsidRPr="6AD0082D">
        <w:rPr>
          <w:lang w:val="en-US"/>
        </w:rPr>
        <w:t xml:space="preserve">Some respondents questioned the value </w:t>
      </w:r>
      <w:proofErr w:type="gramStart"/>
      <w:r w:rsidRPr="6AD0082D">
        <w:rPr>
          <w:lang w:val="en-US"/>
        </w:rPr>
        <w:t>in</w:t>
      </w:r>
      <w:proofErr w:type="gramEnd"/>
      <w:r w:rsidRPr="6AD0082D">
        <w:rPr>
          <w:lang w:val="en-US"/>
        </w:rPr>
        <w:t xml:space="preserve"> being registered:</w:t>
      </w:r>
    </w:p>
    <w:p w14:paraId="461DCAAA" w14:textId="5BA5CB9C" w:rsidR="030AA18E" w:rsidRDefault="030AA18E" w:rsidP="00BB7E46">
      <w:pPr>
        <w:pStyle w:val="Quote"/>
        <w:rPr>
          <w:lang w:val="en-US"/>
        </w:rPr>
      </w:pPr>
      <w:r w:rsidRPr="6AD0082D">
        <w:rPr>
          <w:lang w:val="en-US"/>
        </w:rPr>
        <w:t>“There's a lot of additional time and costs involved with no real benefit.”</w:t>
      </w:r>
    </w:p>
    <w:p w14:paraId="4E484D6A" w14:textId="77777777" w:rsidR="004316F3" w:rsidRDefault="030AA18E" w:rsidP="00BB7E46">
      <w:pPr>
        <w:pStyle w:val="QuoteAuthor"/>
        <w:rPr>
          <w:lang w:val="en-US"/>
        </w:rPr>
      </w:pPr>
      <w:r w:rsidRPr="6AD0082D">
        <w:rPr>
          <w:lang w:val="en-US"/>
        </w:rPr>
        <w:t xml:space="preserve">ACT very </w:t>
      </w:r>
      <w:proofErr w:type="gramStart"/>
      <w:r w:rsidRPr="6AD0082D">
        <w:rPr>
          <w:lang w:val="en-US"/>
        </w:rPr>
        <w:t>small for-</w:t>
      </w:r>
      <w:proofErr w:type="gramEnd"/>
      <w:r w:rsidRPr="6AD0082D">
        <w:rPr>
          <w:lang w:val="en-US"/>
        </w:rPr>
        <w:t>profit</w:t>
      </w:r>
    </w:p>
    <w:p w14:paraId="7DD37915" w14:textId="2BD966C5" w:rsidR="030AA18E" w:rsidRDefault="030AA18E" w:rsidP="00BB7E46">
      <w:pPr>
        <w:pStyle w:val="Quote"/>
        <w:rPr>
          <w:lang w:val="en-US"/>
        </w:rPr>
      </w:pPr>
      <w:r w:rsidRPr="6AD0082D">
        <w:rPr>
          <w:lang w:val="en-US"/>
        </w:rPr>
        <w:lastRenderedPageBreak/>
        <w:t>“Because it is pointless.”</w:t>
      </w:r>
    </w:p>
    <w:p w14:paraId="02101485" w14:textId="77777777" w:rsidR="004316F3" w:rsidRDefault="030AA18E" w:rsidP="00BB7E46">
      <w:pPr>
        <w:pStyle w:val="QuoteAuthor"/>
        <w:rPr>
          <w:lang w:val="en-US"/>
        </w:rPr>
      </w:pPr>
      <w:r w:rsidRPr="6766CE18">
        <w:rPr>
          <w:lang w:val="en-US"/>
        </w:rPr>
        <w:t>Q</w:t>
      </w:r>
      <w:r w:rsidR="00EA2B62" w:rsidRPr="6766CE18">
        <w:rPr>
          <w:lang w:val="en-US"/>
        </w:rPr>
        <w:t>ld</w:t>
      </w:r>
      <w:r w:rsidRPr="6AD0082D">
        <w:rPr>
          <w:lang w:val="en-US"/>
        </w:rPr>
        <w:t xml:space="preserve"> small not-for-profit</w:t>
      </w:r>
    </w:p>
    <w:p w14:paraId="53D15782" w14:textId="46CEAEAE" w:rsidR="030AA18E" w:rsidRDefault="030AA18E" w:rsidP="00BB7E46">
      <w:pPr>
        <w:pStyle w:val="Quote"/>
        <w:rPr>
          <w:lang w:val="en-US"/>
        </w:rPr>
      </w:pPr>
      <w:r w:rsidRPr="6AD0082D">
        <w:rPr>
          <w:lang w:val="en-US"/>
        </w:rPr>
        <w:t>“The lack of value-add.”</w:t>
      </w:r>
    </w:p>
    <w:p w14:paraId="34B76C4C" w14:textId="77777777" w:rsidR="004316F3" w:rsidRDefault="030AA18E" w:rsidP="00BB7E46">
      <w:pPr>
        <w:pStyle w:val="QuoteAuthor"/>
        <w:rPr>
          <w:lang w:val="en-US"/>
        </w:rPr>
      </w:pPr>
      <w:r w:rsidRPr="6766CE18">
        <w:rPr>
          <w:lang w:val="en-US"/>
        </w:rPr>
        <w:t>V</w:t>
      </w:r>
      <w:r w:rsidR="00EA2B62" w:rsidRPr="6766CE18">
        <w:rPr>
          <w:lang w:val="en-US"/>
        </w:rPr>
        <w:t>ic</w:t>
      </w:r>
      <w:r w:rsidRPr="6AD0082D">
        <w:rPr>
          <w:lang w:val="en-US"/>
        </w:rPr>
        <w:t xml:space="preserve"> large not-for-profit</w:t>
      </w:r>
    </w:p>
    <w:p w14:paraId="6B4A6A05" w14:textId="77777777" w:rsidR="004316F3" w:rsidRDefault="030AA18E" w:rsidP="00ED2E59">
      <w:pPr>
        <w:spacing w:before="240"/>
        <w:rPr>
          <w:lang w:val="en-US"/>
        </w:rPr>
      </w:pPr>
      <w:r w:rsidRPr="6AD0082D">
        <w:rPr>
          <w:lang w:val="en-US"/>
        </w:rPr>
        <w:t>Several respondents expressed their concerns about the NDIS Quality and Safeguarding Framework only applying to registered providers:</w:t>
      </w:r>
    </w:p>
    <w:p w14:paraId="78911703" w14:textId="7BC26284" w:rsidR="030AA18E" w:rsidRDefault="030AA18E" w:rsidP="00C936C4">
      <w:pPr>
        <w:pStyle w:val="Quote"/>
        <w:rPr>
          <w:lang w:val="en-US"/>
        </w:rPr>
      </w:pPr>
      <w:r w:rsidRPr="6AD0082D">
        <w:rPr>
          <w:lang w:val="en-US"/>
        </w:rPr>
        <w:t>“Wouldn't it be safer for ALL participants and fairer for ALL providers if the same processes applied to both registered and unregistered providers?”</w:t>
      </w:r>
    </w:p>
    <w:p w14:paraId="3C6C94E0" w14:textId="77777777" w:rsidR="004316F3" w:rsidRDefault="030AA18E" w:rsidP="00BB7E46">
      <w:pPr>
        <w:pStyle w:val="QuoteAuthor"/>
        <w:rPr>
          <w:lang w:val="en-US"/>
        </w:rPr>
      </w:pPr>
      <w:r w:rsidRPr="6766CE18">
        <w:rPr>
          <w:lang w:val="en-US"/>
        </w:rPr>
        <w:t>V</w:t>
      </w:r>
      <w:r w:rsidR="008A694F" w:rsidRPr="6766CE18">
        <w:rPr>
          <w:lang w:val="en-US"/>
        </w:rPr>
        <w:t>ic</w:t>
      </w:r>
      <w:r w:rsidRPr="6AD0082D">
        <w:rPr>
          <w:lang w:val="en-US"/>
        </w:rPr>
        <w:t xml:space="preserve"> medium not-for-profit</w:t>
      </w:r>
    </w:p>
    <w:p w14:paraId="6A1B5903" w14:textId="20D23CA0" w:rsidR="030AA18E" w:rsidRDefault="030AA18E" w:rsidP="00C936C4">
      <w:pPr>
        <w:pStyle w:val="Quote"/>
        <w:rPr>
          <w:lang w:val="en-US"/>
        </w:rPr>
      </w:pPr>
      <w:r w:rsidRPr="6AD0082D">
        <w:rPr>
          <w:lang w:val="en-US"/>
        </w:rPr>
        <w:t>“We are registered; however</w:t>
      </w:r>
      <w:r w:rsidR="008A694F" w:rsidRPr="2F3F709A">
        <w:rPr>
          <w:lang w:val="en-US"/>
        </w:rPr>
        <w:t>,</w:t>
      </w:r>
      <w:r w:rsidRPr="6AD0082D">
        <w:rPr>
          <w:lang w:val="en-US"/>
        </w:rPr>
        <w:t xml:space="preserve"> </w:t>
      </w:r>
      <w:proofErr w:type="gramStart"/>
      <w:r w:rsidRPr="6AD0082D">
        <w:rPr>
          <w:lang w:val="en-US"/>
        </w:rPr>
        <w:t>the majority of</w:t>
      </w:r>
      <w:proofErr w:type="gramEnd"/>
      <w:r w:rsidRPr="6AD0082D">
        <w:rPr>
          <w:lang w:val="en-US"/>
        </w:rPr>
        <w:t xml:space="preserve"> providers are not</w:t>
      </w:r>
      <w:r w:rsidR="00DA04F3">
        <w:rPr>
          <w:lang w:val="en-US"/>
        </w:rPr>
        <w:t xml:space="preserve">, so the [elements of the Quality and Safeguarding Framework] </w:t>
      </w:r>
      <w:r w:rsidRPr="6AD0082D">
        <w:rPr>
          <w:lang w:val="en-US"/>
        </w:rPr>
        <w:t>are not relevant to the majority working within the NDIS field. This places participants at risk.”</w:t>
      </w:r>
    </w:p>
    <w:p w14:paraId="64CB48FD" w14:textId="77777777" w:rsidR="004316F3" w:rsidRDefault="030AA18E" w:rsidP="00BB7E46">
      <w:pPr>
        <w:pStyle w:val="QuoteAuthor"/>
        <w:rPr>
          <w:lang w:val="en-US"/>
        </w:rPr>
      </w:pPr>
      <w:r w:rsidRPr="6AD0082D">
        <w:rPr>
          <w:lang w:val="en-US"/>
        </w:rPr>
        <w:t>WA very small sole trader</w:t>
      </w:r>
    </w:p>
    <w:p w14:paraId="379F07FD" w14:textId="2C982B8B" w:rsidR="030AA18E" w:rsidRDefault="030AA18E" w:rsidP="00C936C4">
      <w:pPr>
        <w:pStyle w:val="Quote"/>
        <w:rPr>
          <w:lang w:val="en-US"/>
        </w:rPr>
      </w:pPr>
      <w:r w:rsidRPr="6AD0082D">
        <w:rPr>
          <w:lang w:val="en-US"/>
        </w:rPr>
        <w:t>“Red tape only for registered providers is increasing and our income is decreasing. We will seriously consider becoming unregistered.”</w:t>
      </w:r>
    </w:p>
    <w:p w14:paraId="55AC1EA2" w14:textId="77777777" w:rsidR="004316F3" w:rsidRDefault="030AA18E" w:rsidP="00BB7E46">
      <w:pPr>
        <w:pStyle w:val="QuoteAuthor"/>
        <w:rPr>
          <w:lang w:val="en-US"/>
        </w:rPr>
      </w:pPr>
      <w:r w:rsidRPr="6766CE18">
        <w:rPr>
          <w:lang w:val="en-US"/>
        </w:rPr>
        <w:t>V</w:t>
      </w:r>
      <w:r w:rsidR="008A694F" w:rsidRPr="6766CE18">
        <w:rPr>
          <w:lang w:val="en-US"/>
        </w:rPr>
        <w:t>ic</w:t>
      </w:r>
      <w:r w:rsidRPr="6AD0082D">
        <w:rPr>
          <w:lang w:val="en-US"/>
        </w:rPr>
        <w:t xml:space="preserve"> large not-for-profit</w:t>
      </w:r>
    </w:p>
    <w:p w14:paraId="1763161A" w14:textId="5CF8F3C1" w:rsidR="00BA0F33" w:rsidRPr="00C56514" w:rsidRDefault="00BA0F33" w:rsidP="0097062A">
      <w:pPr>
        <w:pStyle w:val="Heading3"/>
      </w:pPr>
      <w:r w:rsidRPr="00C56514">
        <w:t>The NDIS Quality and Safeguards Commission</w:t>
      </w:r>
    </w:p>
    <w:p w14:paraId="649D8100" w14:textId="77777777" w:rsidR="004316F3" w:rsidRDefault="00BA0F33" w:rsidP="0097062A">
      <w:r>
        <w:t>This year, the NDIS Quality and Safeguards Commission grew, began to use all available regulatory tools, and increased their presence in the field and providers’ in</w:t>
      </w:r>
      <w:r w:rsidR="00A243DD">
        <w:t>-</w:t>
      </w:r>
      <w:r>
        <w:t>boxes. A restructure of the NDIS Commission’s teams also saw less connection at the state and territory level</w:t>
      </w:r>
      <w:r w:rsidR="00CC6F68">
        <w:t>,</w:t>
      </w:r>
      <w:r>
        <w:t xml:space="preserve"> an impact still being felt in the absence of local knowledge and relationship development.</w:t>
      </w:r>
    </w:p>
    <w:p w14:paraId="6022CEB0" w14:textId="77777777" w:rsidR="004316F3" w:rsidRDefault="00BA0F33" w:rsidP="0097062A">
      <w:r>
        <w:t>Three NDIS Commissioners led the work across the year. Commissioner Tracy Mackey resigned, leaving the role in May, making way for Acting Commissioner Michael Phelan APM. In October</w:t>
      </w:r>
      <w:r w:rsidR="00DA04F3">
        <w:t>,</w:t>
      </w:r>
      <w:r>
        <w:t xml:space="preserve"> we welcomed Commissioner Louise Glanville a</w:t>
      </w:r>
      <w:r w:rsidR="00AA539A">
        <w:t>s well as</w:t>
      </w:r>
      <w:r>
        <w:t xml:space="preserve"> Associate Commissioner Natalie Wade, who led the work of the Worker and Provider Registration Taskforce. NDS met with all commissioners throughout the </w:t>
      </w:r>
      <w:r>
        <w:lastRenderedPageBreak/>
        <w:t xml:space="preserve">year, highlighting provider issues and challenges, and offering solutions. In the coming years of </w:t>
      </w:r>
      <w:r w:rsidR="00EA5725">
        <w:t>reform,</w:t>
      </w:r>
      <w:r>
        <w:t xml:space="preserve"> these working relationships will be critical.</w:t>
      </w:r>
    </w:p>
    <w:p w14:paraId="03759551" w14:textId="096AC561" w:rsidR="00BA0F33" w:rsidRPr="0057377C" w:rsidRDefault="00BA0F33" w:rsidP="0097062A">
      <w:pPr>
        <w:pStyle w:val="Heading3"/>
      </w:pPr>
      <w:r w:rsidRPr="0057377C">
        <w:t>Oversight and monitoring</w:t>
      </w:r>
    </w:p>
    <w:p w14:paraId="2B248D23" w14:textId="77777777" w:rsidR="004316F3" w:rsidRDefault="00BA0F33" w:rsidP="0097062A">
      <w:pPr>
        <w:rPr>
          <w:lang w:val="en-US"/>
        </w:rPr>
      </w:pPr>
      <w:r w:rsidRPr="50E3E469">
        <w:t xml:space="preserve">The compliance landscape changed abruptly in late 2023 with a move to a more coercive compliance approach from the NDIS Commission. The action on positive behaviour support and unauthorised restrictive practices followed recommendations from the Disability Royal Commission to strengthen monitoring, compliance and enforcement, and the findings of harm, abuse, neglect and exploitation of people with a disability. </w:t>
      </w:r>
      <w:r w:rsidRPr="50E3E469">
        <w:rPr>
          <w:lang w:val="en-US"/>
        </w:rPr>
        <w:t>A directive from Minister Shorten to report on actions relating to restrictive practices — the focus of the coercive compliance — also had roots in the findings of abuse and from the NDIS Commission’s gaps in responding to some of the past shocking events.</w:t>
      </w:r>
    </w:p>
    <w:p w14:paraId="55D03921" w14:textId="32601579" w:rsidR="00BA0F33" w:rsidRDefault="00BA0F33" w:rsidP="0097062A">
      <w:r>
        <w:t>For the sector, the impact was harsh, and the predominantly administrative focus of the compliance action was frustrating</w:t>
      </w:r>
      <w:r w:rsidR="4F7B3B96">
        <w:t>.</w:t>
      </w:r>
      <w:r>
        <w:t xml:space="preserve"> More than $1.6 million in fines were served over the period and letters were sent to most of the 8000 practitioners and providers in the market</w:t>
      </w:r>
      <w:r w:rsidR="005C2EC2">
        <w:t>.</w:t>
      </w:r>
      <w:r>
        <w:t xml:space="preserve"> The sector responses were varied: some welcomed the boundary setting, some left the sector, and others shifted processes.</w:t>
      </w:r>
    </w:p>
    <w:p w14:paraId="302C937C" w14:textId="77777777" w:rsidR="00BA0F33" w:rsidRDefault="00BA0F33" w:rsidP="0097062A">
      <w:r>
        <w:t>NDS wrote to Minister Shorten and the NDIS Commissioner, advocating on behalf of providers’ concerns about the focus on administrative compliance and the lack of warning given. We pushed for education to support continuous improvement, clearer details in infringement notices, and warning letters as an initial compliance step. NDS continues to monitor the potential for a reduced market for people with complex needs and rushed interim plans to meet deadlines.</w:t>
      </w:r>
    </w:p>
    <w:p w14:paraId="3922D67C" w14:textId="77777777" w:rsidR="00BA0F33" w:rsidRDefault="00BA0F33" w:rsidP="0097062A">
      <w:pPr>
        <w:rPr>
          <w:color w:val="000000" w:themeColor="text1"/>
          <w:lang w:val="en-US"/>
        </w:rPr>
      </w:pPr>
      <w:r>
        <w:t>Civil action, infringement notices and compliance notices are now part of the expected landscape.</w:t>
      </w:r>
    </w:p>
    <w:p w14:paraId="0C7469C7" w14:textId="77777777" w:rsidR="000E6676" w:rsidRDefault="000E6676" w:rsidP="0097062A">
      <w:pPr>
        <w:pStyle w:val="Heading3"/>
        <w:rPr>
          <w:lang w:val="en-US"/>
        </w:rPr>
      </w:pPr>
      <w:r>
        <w:t>Regulatory burden</w:t>
      </w:r>
    </w:p>
    <w:p w14:paraId="2E0DD1E6" w14:textId="77777777" w:rsidR="004316F3" w:rsidRDefault="000E6676" w:rsidP="0097062A">
      <w:pPr>
        <w:rPr>
          <w:lang w:val="en-US"/>
        </w:rPr>
      </w:pPr>
      <w:r w:rsidRPr="50E3E469">
        <w:rPr>
          <w:lang w:val="en-US"/>
        </w:rPr>
        <w:t>No shifts in the regulatory burden for providers have eventuated in the past year. Any potential changes have been caught up in the reform priorities.</w:t>
      </w:r>
    </w:p>
    <w:p w14:paraId="573AF0C6" w14:textId="34474AD0" w:rsidR="000E6676" w:rsidRDefault="000E6676" w:rsidP="0097062A">
      <w:pPr>
        <w:rPr>
          <w:color w:val="000000" w:themeColor="text1"/>
          <w:lang w:val="en-US"/>
        </w:rPr>
      </w:pPr>
      <w:r w:rsidRPr="50E3E469">
        <w:rPr>
          <w:lang w:val="en-US"/>
        </w:rPr>
        <w:lastRenderedPageBreak/>
        <w:t xml:space="preserve">Requirements for reporting restrictive practices have not changed, the timeliness and cost of engaging with </w:t>
      </w:r>
      <w:proofErr w:type="spellStart"/>
      <w:r w:rsidRPr="50E3E469">
        <w:rPr>
          <w:lang w:val="en-US"/>
        </w:rPr>
        <w:t>behaviour</w:t>
      </w:r>
      <w:proofErr w:type="spellEnd"/>
      <w:r w:rsidRPr="50E3E469">
        <w:rPr>
          <w:lang w:val="en-US"/>
        </w:rPr>
        <w:t xml:space="preserve"> support practitioners remains the same, and the inconsistency, time, cost and administrative impact of audits have not shifted. State and territory requirements continue to create multi-layered quality and safeguarding environments, which must be considered in transitioning to new ways of working.</w:t>
      </w:r>
    </w:p>
    <w:p w14:paraId="4A7E9120" w14:textId="77777777" w:rsidR="004316F3" w:rsidRDefault="000E6676" w:rsidP="0097062A">
      <w:r w:rsidRPr="50E3E469">
        <w:rPr>
          <w:lang w:val="en-US"/>
        </w:rPr>
        <w:t xml:space="preserve">Since last year, there has been an increase in </w:t>
      </w:r>
      <w:r>
        <w:t>requests for information about reportable incidents, more time spent preparing for site visits and a historic backlog of complaint processing from the NDIS Commission.</w:t>
      </w:r>
    </w:p>
    <w:p w14:paraId="5CEA748B" w14:textId="633A3134" w:rsidR="000E6676" w:rsidRDefault="000E6676" w:rsidP="0097062A">
      <w:pPr>
        <w:rPr>
          <w:color w:val="000000" w:themeColor="text1"/>
          <w:lang w:val="en-US"/>
        </w:rPr>
      </w:pPr>
      <w:r>
        <w:t xml:space="preserve">Participating in the regulatory system is essential. It is part of the duty of registered providers and is required to monitor and uphold the rights, safety and quality service provision for people with disability. In this early period, requests from the NDIS Commission can seem unclear and outside the scope of the provider, and requests for information about complaints </w:t>
      </w:r>
      <w:r w:rsidR="00FC3C74">
        <w:t>arrive</w:t>
      </w:r>
      <w:r>
        <w:t xml:space="preserve"> too late to have an impact. It is important work — for providers and for the </w:t>
      </w:r>
      <w:r w:rsidRPr="50E3E469">
        <w:rPr>
          <w:lang w:val="en-US"/>
        </w:rPr>
        <w:t xml:space="preserve">NDIS </w:t>
      </w:r>
      <w:r>
        <w:t xml:space="preserve">Commission — and we are seeing </w:t>
      </w:r>
      <w:r w:rsidR="00DA04F3">
        <w:t xml:space="preserve">promises </w:t>
      </w:r>
      <w:r>
        <w:t xml:space="preserve">of a more streamlined approach after what </w:t>
      </w:r>
      <w:proofErr w:type="gramStart"/>
      <w:r>
        <w:t>may be a settling period</w:t>
      </w:r>
      <w:proofErr w:type="gramEnd"/>
      <w:r>
        <w:t>.</w:t>
      </w:r>
    </w:p>
    <w:p w14:paraId="2BD737E3" w14:textId="77777777" w:rsidR="004316F3" w:rsidRPr="00E92AAE" w:rsidRDefault="000E6676" w:rsidP="00E92AAE">
      <w:pPr>
        <w:pStyle w:val="Heading3"/>
      </w:pPr>
      <w:r w:rsidRPr="00E92AAE">
        <w:t>Data intelligence and data sharing</w:t>
      </w:r>
    </w:p>
    <w:p w14:paraId="4771E4FA" w14:textId="77777777" w:rsidR="004316F3" w:rsidRDefault="000E6676" w:rsidP="0097062A">
      <w:r>
        <w:t>Central to efficient, comprehensive improvement in quality and safeguarding and a reduction in the regulatory burden is an uplift in the technology systems of the NDIS Commission and the ability to share data for safeguarding outcomes.</w:t>
      </w:r>
    </w:p>
    <w:p w14:paraId="3BB753F7" w14:textId="77777777" w:rsidR="004316F3" w:rsidRDefault="000E6676" w:rsidP="0097062A">
      <w:r>
        <w:t>In a significant move, the government’s 2024 federal budget included an allocation of $160 million for the NDIS Commission’s Data and Regulatory Transformation (DART) program over the next four years. That leaves the current systems to tick along for some time but provides promise of improved ways of operating.</w:t>
      </w:r>
    </w:p>
    <w:p w14:paraId="35366964" w14:textId="776A1512" w:rsidR="00BA0F33" w:rsidRDefault="000E6676" w:rsidP="0097062A">
      <w:r>
        <w:t>NDS will monitor developments and work with the NDIS Commission to identify opportunities to inform the design.</w:t>
      </w:r>
    </w:p>
    <w:p w14:paraId="4BDBDF3D" w14:textId="272FF914" w:rsidR="0079477E" w:rsidRPr="0079477E" w:rsidRDefault="030AA18E" w:rsidP="0097062A">
      <w:pPr>
        <w:pStyle w:val="Heading3"/>
        <w:rPr>
          <w:lang w:val="en-US"/>
        </w:rPr>
      </w:pPr>
      <w:r>
        <w:t>Provider registration</w:t>
      </w:r>
    </w:p>
    <w:p w14:paraId="671C96B9" w14:textId="2AC95449" w:rsidR="6AD0082D" w:rsidRDefault="030AA18E" w:rsidP="0097062A">
      <w:r>
        <w:t xml:space="preserve">The sector continued to operate in a two-tier quality and safeguarding system, waiting and watching the work of the </w:t>
      </w:r>
      <w:r w:rsidR="00D20F39">
        <w:t xml:space="preserve">NDIS </w:t>
      </w:r>
      <w:r>
        <w:t xml:space="preserve">Provider and Worker Registration Taskforce. The sector appreciates these changes take time, but the frustration and </w:t>
      </w:r>
      <w:r>
        <w:lastRenderedPageBreak/>
        <w:t>disparity remain. This imbalance has long underpinned provider perception of the quality and safeguarding framework, and it is no surprise that this continues to be the case.</w:t>
      </w:r>
    </w:p>
    <w:p w14:paraId="63E7CF90" w14:textId="2D1C8D8B" w:rsidR="00911F3F" w:rsidRPr="00911F3F" w:rsidRDefault="00911F3F" w:rsidP="0097062A">
      <w:r>
        <w:t xml:space="preserve">The </w:t>
      </w:r>
      <w:r w:rsidR="00AA539A">
        <w:t xml:space="preserve">federal </w:t>
      </w:r>
      <w:r>
        <w:t>government’s September announcement to bring platform providers, support coordinators and supported independent living providers under mandatory registration was encouraging. Given the pricing crisis and levels of uncertainty in the sector, particularly for support coordinators, the process to transition those providers not yet registered will need to be managed carefully.</w:t>
      </w:r>
    </w:p>
    <w:p w14:paraId="5172BEBE" w14:textId="3FD7F86E" w:rsidR="6AD0082D" w:rsidRDefault="030AA18E" w:rsidP="0097062A">
      <w:pPr>
        <w:rPr>
          <w:color w:val="000000" w:themeColor="text1"/>
          <w:lang w:val="en-US"/>
        </w:rPr>
      </w:pPr>
      <w:r>
        <w:t>The audit experience can be varied</w:t>
      </w:r>
      <w:r w:rsidR="00C56514">
        <w:t>.</w:t>
      </w:r>
      <w:r>
        <w:t xml:space="preserve"> </w:t>
      </w:r>
      <w:r w:rsidR="00C56514">
        <w:t>F</w:t>
      </w:r>
      <w:r>
        <w:t xml:space="preserve">or some, this is supportive and developmental; for others, it is a </w:t>
      </w:r>
      <w:r w:rsidR="00AA539A">
        <w:t xml:space="preserve">costly </w:t>
      </w:r>
      <w:r>
        <w:t xml:space="preserve">compliance activity with no impact on the quality of services for people with disability. Delays between audits and certification remain a problem. The review of the NDIS Practice Standards and related processes undertaken by the NDIS Commission </w:t>
      </w:r>
      <w:r w:rsidR="00DA04F3">
        <w:t>in</w:t>
      </w:r>
      <w:r>
        <w:t xml:space="preserve"> the last part of the year </w:t>
      </w:r>
      <w:r w:rsidR="00DA04F3">
        <w:t>was</w:t>
      </w:r>
      <w:r>
        <w:t xml:space="preserve"> a good opportunity for the sector to share concerns and offer solutions.</w:t>
      </w:r>
    </w:p>
    <w:p w14:paraId="08FE5A2F" w14:textId="77777777" w:rsidR="00F94D1D" w:rsidRDefault="00F94D1D" w:rsidP="0097062A">
      <w:pPr>
        <w:pStyle w:val="Heading3"/>
        <w:rPr>
          <w:lang w:val="en-US"/>
        </w:rPr>
      </w:pPr>
      <w:r>
        <w:t>Cost of quality</w:t>
      </w:r>
    </w:p>
    <w:p w14:paraId="0D339078" w14:textId="77777777" w:rsidR="004316F3" w:rsidRDefault="00F94D1D" w:rsidP="0097062A">
      <w:r>
        <w:t xml:space="preserve">For the past few years, it has been difficult, </w:t>
      </w:r>
      <w:r w:rsidR="00FA6CD3">
        <w:t xml:space="preserve">sometimes </w:t>
      </w:r>
      <w:r>
        <w:t>near impossible, to have a conversation about quality and safeguards without talking about the cost of quality. It is not where providers want to focus their attention, but the pressures kept mounting though the year on top of existing requirements and tight pricing. Pricing reviews have yet to consider the cost of quality.</w:t>
      </w:r>
    </w:p>
    <w:p w14:paraId="64EC5C52" w14:textId="77777777" w:rsidR="004316F3" w:rsidRDefault="00F94D1D" w:rsidP="0097062A">
      <w:r>
        <w:t xml:space="preserve">This year we have seen some health supports and </w:t>
      </w:r>
      <w:r w:rsidR="00FC3C74">
        <w:t>high-intensity</w:t>
      </w:r>
      <w:r>
        <w:t xml:space="preserve"> behaviour supports reduced or removed from plans. And the ‘pause’ in high intensity behavioural supports payments saw services struggle to </w:t>
      </w:r>
      <w:r w:rsidR="2FA630F5">
        <w:t>support</w:t>
      </w:r>
      <w:r>
        <w:t xml:space="preserve"> people with </w:t>
      </w:r>
      <w:r w:rsidR="1307F34F">
        <w:t>those needs.</w:t>
      </w:r>
      <w:r>
        <w:t xml:space="preserve"> This rocked many in the sector and some providers moved away from working with participants with the most complex needs.</w:t>
      </w:r>
    </w:p>
    <w:p w14:paraId="3EA80B7F" w14:textId="0E3A12B5" w:rsidR="00F94D1D" w:rsidRDefault="00F94D1D" w:rsidP="0097062A">
      <w:r>
        <w:t>It was encouraging to hear the NDIS Commission speak at community forums in September about the cost of quality, but they don’t author the Annual Pricing Review. Getting clear about what resourcing looks like for reporting, auditing, responding to requests, training and supporting staff, and other elements will be essential for the sector in the coming year.</w:t>
      </w:r>
    </w:p>
    <w:p w14:paraId="6DF6B889" w14:textId="5926459D" w:rsidR="030AA18E" w:rsidDel="000E6676" w:rsidRDefault="13243A82" w:rsidP="0097062A">
      <w:pPr>
        <w:pStyle w:val="Heading3"/>
        <w:rPr>
          <w:lang w:val="en-US"/>
        </w:rPr>
      </w:pPr>
      <w:r>
        <w:lastRenderedPageBreak/>
        <w:t>What</w:t>
      </w:r>
      <w:r w:rsidR="5CF71D2D">
        <w:t>’s</w:t>
      </w:r>
      <w:r>
        <w:t xml:space="preserve"> next?</w:t>
      </w:r>
    </w:p>
    <w:p w14:paraId="112DE74C" w14:textId="77777777" w:rsidR="004316F3" w:rsidRDefault="030AA18E" w:rsidP="0097062A">
      <w:r>
        <w:t xml:space="preserve">The end of 2024 has been busy for quality and safeguarding as the reform agenda </w:t>
      </w:r>
      <w:r w:rsidR="00FC3C74">
        <w:t>rolled</w:t>
      </w:r>
      <w:r>
        <w:t xml:space="preserve"> out. The NDIS Commission consulted with participants and providers to inform how practice standards might look into the future.</w:t>
      </w:r>
    </w:p>
    <w:p w14:paraId="42DDB47D" w14:textId="77777777" w:rsidR="004316F3" w:rsidRDefault="00C56514" w:rsidP="0097062A">
      <w:r w:rsidRPr="00C56514">
        <w:t>They shared consultation papers on the second round of legislative changes focused on providers, service standards and participant safety, including proposals for increased penalties.</w:t>
      </w:r>
    </w:p>
    <w:p w14:paraId="1E50AD2F" w14:textId="77777777" w:rsidR="004316F3" w:rsidRDefault="030AA18E" w:rsidP="0097062A">
      <w:r>
        <w:t>The</w:t>
      </w:r>
      <w:r w:rsidR="000153B9">
        <w:t xml:space="preserve">y </w:t>
      </w:r>
      <w:r>
        <w:t>consider</w:t>
      </w:r>
      <w:r w:rsidR="000153B9">
        <w:t>ed</w:t>
      </w:r>
      <w:r>
        <w:t xml:space="preserve"> </w:t>
      </w:r>
      <w:r w:rsidR="001F5FBF">
        <w:t>the</w:t>
      </w:r>
      <w:r>
        <w:t xml:space="preserve"> changes </w:t>
      </w:r>
      <w:r w:rsidR="001F5FBF">
        <w:t>for</w:t>
      </w:r>
      <w:r>
        <w:t xml:space="preserve"> improve</w:t>
      </w:r>
      <w:r w:rsidR="001F5FBF">
        <w:t>d</w:t>
      </w:r>
      <w:r>
        <w:t xml:space="preserve"> practice in supported accommodation, how to resolve conflicts of interests in combined SDA and SIL arrangements, and how to implement the new mandatory registration requirements for support coordination, supported independent living and platform providers.</w:t>
      </w:r>
    </w:p>
    <w:p w14:paraId="2965F945" w14:textId="77777777" w:rsidR="004316F3" w:rsidRDefault="00C56514" w:rsidP="0097062A">
      <w:r w:rsidRPr="00C56514">
        <w:t>NDS will keep working with providers and the NDIS Commission to transition to a fair, well- resourced quality and safeguarding system.</w:t>
      </w:r>
    </w:p>
    <w:p w14:paraId="35A140CF" w14:textId="210A7638" w:rsidR="0C0C7774" w:rsidRPr="00A715E8" w:rsidRDefault="0C0C7774" w:rsidP="0097062A">
      <w:pPr>
        <w:pStyle w:val="Heading2"/>
      </w:pPr>
      <w:bookmarkStart w:id="84" w:name="_Toc180593631"/>
      <w:bookmarkStart w:id="85" w:name="_Toc181352004"/>
      <w:bookmarkStart w:id="86" w:name="_Toc184287168"/>
      <w:r w:rsidRPr="00A715E8">
        <w:lastRenderedPageBreak/>
        <w:t>Member story: early childhood services</w:t>
      </w:r>
      <w:bookmarkEnd w:id="84"/>
      <w:bookmarkEnd w:id="85"/>
      <w:bookmarkEnd w:id="86"/>
    </w:p>
    <w:p w14:paraId="67A3BC21" w14:textId="61EF21A4" w:rsidR="0C0C7774" w:rsidRDefault="0C0C7774" w:rsidP="0097062A">
      <w:pPr>
        <w:pStyle w:val="Heading3"/>
        <w:rPr>
          <w:lang w:val="en-US"/>
        </w:rPr>
      </w:pPr>
      <w:proofErr w:type="spellStart"/>
      <w:r w:rsidRPr="6AD0082D">
        <w:t>Koorana</w:t>
      </w:r>
      <w:proofErr w:type="spellEnd"/>
      <w:r w:rsidRPr="6AD0082D">
        <w:t>, Sydney</w:t>
      </w:r>
    </w:p>
    <w:p w14:paraId="592E339E" w14:textId="3096A1FA" w:rsidR="0C0C7774" w:rsidRDefault="0C0C7774" w:rsidP="0097062A">
      <w:pPr>
        <w:rPr>
          <w:color w:val="000000" w:themeColor="text1"/>
          <w:lang w:val="en-US"/>
        </w:rPr>
      </w:pPr>
      <w:proofErr w:type="spellStart"/>
      <w:r>
        <w:t>Koorana</w:t>
      </w:r>
      <w:proofErr w:type="spellEnd"/>
      <w:r>
        <w:t xml:space="preserve"> provides a wide range of services and programs to support children and their families across 100 Sydney suburbs. We spoke with CEO Morgan Fitzpatrick</w:t>
      </w:r>
      <w:r w:rsidR="00850ABC">
        <w:t>,</w:t>
      </w:r>
      <w:r>
        <w:t xml:space="preserve"> who is deeply passionate about helping all children get the best start in life and spoke warmly about her service, her team and the children they work with.</w:t>
      </w:r>
    </w:p>
    <w:p w14:paraId="2B77DE4C" w14:textId="77777777" w:rsidR="004316F3" w:rsidRDefault="0C0C7774" w:rsidP="0097062A">
      <w:proofErr w:type="spellStart"/>
      <w:r>
        <w:t>Koorana</w:t>
      </w:r>
      <w:proofErr w:type="spellEnd"/>
      <w:r>
        <w:t xml:space="preserve"> helps families understand and navigate various stages of early childhood development. They support babies, toddlers and children through a variety of preschool and playgroup learning opportunities, child and family support programs, and early intervention and allied health for children who may have a developmental delay or disability. In addition, they continue working with children, young people and their families through the school years with allied health supports </w:t>
      </w:r>
      <w:r w:rsidR="00992E41">
        <w:t xml:space="preserve">that are </w:t>
      </w:r>
      <w:r>
        <w:t>delivered under a transdisciplinary approach.</w:t>
      </w:r>
    </w:p>
    <w:p w14:paraId="4AAAAABB" w14:textId="77777777" w:rsidR="004316F3" w:rsidRDefault="0C0C7774" w:rsidP="0097062A">
      <w:r>
        <w:t xml:space="preserve">The </w:t>
      </w:r>
      <w:proofErr w:type="spellStart"/>
      <w:r>
        <w:t>Koorana</w:t>
      </w:r>
      <w:proofErr w:type="spellEnd"/>
      <w:r>
        <w:t xml:space="preserve"> team believes in supporting children of all abilities to explore all of life’s possibilities</w:t>
      </w:r>
      <w:r w:rsidR="00DA04F3">
        <w:t>,</w:t>
      </w:r>
      <w:r>
        <w:t xml:space="preserve"> and this is evident in the</w:t>
      </w:r>
      <w:r w:rsidR="006C592B">
        <w:t>ir</w:t>
      </w:r>
      <w:r>
        <w:t xml:space="preserve"> focus on inclusive environments and child and family supports.</w:t>
      </w:r>
    </w:p>
    <w:p w14:paraId="0CCDEEBC" w14:textId="3097CD45" w:rsidR="0C0C7774" w:rsidRDefault="0C0C7774" w:rsidP="0097062A">
      <w:pPr>
        <w:pStyle w:val="Heading4"/>
        <w:rPr>
          <w:lang w:val="en-US"/>
        </w:rPr>
      </w:pPr>
      <w:r w:rsidRPr="6AD0082D">
        <w:t xml:space="preserve">The </w:t>
      </w:r>
      <w:proofErr w:type="spellStart"/>
      <w:r w:rsidRPr="6AD0082D">
        <w:t>Koorana</w:t>
      </w:r>
      <w:proofErr w:type="spellEnd"/>
      <w:r w:rsidRPr="6AD0082D">
        <w:t xml:space="preserve"> team</w:t>
      </w:r>
    </w:p>
    <w:p w14:paraId="7E62C8D3" w14:textId="77777777" w:rsidR="004316F3" w:rsidRDefault="0C0C7774" w:rsidP="0097062A">
      <w:proofErr w:type="spellStart"/>
      <w:r>
        <w:t>Koorana</w:t>
      </w:r>
      <w:proofErr w:type="spellEnd"/>
      <w:r>
        <w:t xml:space="preserve"> employs allied health professionals, early childhood teachers and early childhood educators. The staff makeup is culturally diverse, reflecting the neighbourhoods they serve. </w:t>
      </w:r>
      <w:proofErr w:type="spellStart"/>
      <w:r>
        <w:t>Koorana</w:t>
      </w:r>
      <w:proofErr w:type="spellEnd"/>
      <w:r>
        <w:t xml:space="preserve"> estimates that over 60 per cent of their children don’t speak English at home.</w:t>
      </w:r>
    </w:p>
    <w:p w14:paraId="79EE9E3C" w14:textId="77777777" w:rsidR="004316F3" w:rsidRDefault="0C0C7774" w:rsidP="0097062A">
      <w:r>
        <w:t xml:space="preserve">Staff retention at </w:t>
      </w:r>
      <w:proofErr w:type="spellStart"/>
      <w:r>
        <w:t>Koorana</w:t>
      </w:r>
      <w:proofErr w:type="spellEnd"/>
      <w:r>
        <w:t xml:space="preserve"> is high, with staff having a formal opportunity to provide feedback through twice-yearly staff surveys. Successful practicum placements for students of allied health often </w:t>
      </w:r>
      <w:proofErr w:type="gramStart"/>
      <w:r>
        <w:t>lead</w:t>
      </w:r>
      <w:proofErr w:type="gramEnd"/>
      <w:r>
        <w:t xml:space="preserve"> to work with the </w:t>
      </w:r>
      <w:r w:rsidR="00FC3C74">
        <w:t>organisation,</w:t>
      </w:r>
      <w:r>
        <w:t xml:space="preserve"> and </w:t>
      </w:r>
      <w:r w:rsidR="00FC3C74">
        <w:t>recent graduates</w:t>
      </w:r>
      <w:r>
        <w:t xml:space="preserve"> broaden their skill set</w:t>
      </w:r>
      <w:r w:rsidR="006C592B">
        <w:t>s</w:t>
      </w:r>
      <w:r>
        <w:t xml:space="preserve"> and experience through working in the transdisciplinary model of care.</w:t>
      </w:r>
    </w:p>
    <w:p w14:paraId="1C87157D" w14:textId="2EBF3F5D" w:rsidR="0C0C7774" w:rsidRDefault="0C0C7774" w:rsidP="0097062A">
      <w:pPr>
        <w:rPr>
          <w:color w:val="000000" w:themeColor="text1"/>
          <w:lang w:val="en-US"/>
        </w:rPr>
      </w:pPr>
      <w:r>
        <w:t xml:space="preserve">Morgan started work at </w:t>
      </w:r>
      <w:proofErr w:type="spellStart"/>
      <w:r>
        <w:t>Koorana</w:t>
      </w:r>
      <w:proofErr w:type="spellEnd"/>
      <w:r>
        <w:t xml:space="preserve"> two weeks before the COVID</w:t>
      </w:r>
      <w:r w:rsidR="00A715E8">
        <w:t>-19</w:t>
      </w:r>
      <w:r>
        <w:t xml:space="preserve"> lockdowns. For her, it was a quick hello and goodbye to her team of 60. We asked how </w:t>
      </w:r>
      <w:proofErr w:type="spellStart"/>
      <w:r>
        <w:t>Koorana</w:t>
      </w:r>
      <w:proofErr w:type="spellEnd"/>
      <w:r>
        <w:t xml:space="preserve"> managed to deliver their service from home</w:t>
      </w:r>
      <w:r w:rsidR="005E7A82">
        <w:t>,</w:t>
      </w:r>
      <w:r>
        <w:t xml:space="preserve"> and Morgan explained that their long-</w:t>
      </w:r>
      <w:r>
        <w:lastRenderedPageBreak/>
        <w:t>term plan to offer telehealth services was fast tracked</w:t>
      </w:r>
      <w:r w:rsidR="005E7A82">
        <w:t>.</w:t>
      </w:r>
      <w:r>
        <w:t xml:space="preserve"> Her team scrambled to learn how to use </w:t>
      </w:r>
      <w:r w:rsidR="005E7A82">
        <w:t xml:space="preserve">Microsoft </w:t>
      </w:r>
      <w:r>
        <w:t>Teams and they developed protocols on the hop. They had been running two playgroups a day with 150 families</w:t>
      </w:r>
      <w:r w:rsidR="00610277">
        <w:t>,</w:t>
      </w:r>
      <w:r>
        <w:t xml:space="preserve"> which they then managed to deliver online. Morgan reflected that it was difficult, but she quickly bonded with her team in the face of adversity.</w:t>
      </w:r>
    </w:p>
    <w:p w14:paraId="23E2B639" w14:textId="56AFF199" w:rsidR="0C0C7774" w:rsidRDefault="2BF00579" w:rsidP="00C936C4">
      <w:pPr>
        <w:pStyle w:val="Quote"/>
        <w:rPr>
          <w:lang w:val="en-US"/>
        </w:rPr>
      </w:pPr>
      <w:r w:rsidRPr="644B5232">
        <w:t>“</w:t>
      </w:r>
      <w:r w:rsidR="0C0C7774" w:rsidRPr="644B5232">
        <w:t>We go to where children live, learn and play</w:t>
      </w:r>
      <w:r w:rsidR="00FC3C74">
        <w:t>.</w:t>
      </w:r>
      <w:r w:rsidR="503BF6F4" w:rsidRPr="644B5232">
        <w:t>”</w:t>
      </w:r>
    </w:p>
    <w:p w14:paraId="0618011F" w14:textId="19A85800" w:rsidR="0C0C7774" w:rsidRDefault="0C0C7774" w:rsidP="0097062A">
      <w:pPr>
        <w:rPr>
          <w:color w:val="000000" w:themeColor="text1"/>
          <w:lang w:val="en-US"/>
        </w:rPr>
      </w:pPr>
      <w:proofErr w:type="spellStart"/>
      <w:r>
        <w:t>Koorana’s</w:t>
      </w:r>
      <w:proofErr w:type="spellEnd"/>
      <w:r>
        <w:t xml:space="preserve"> team delivers in settings that are familiar to the child — such as at home and at school. Observing and supporting the children in their natural settings presents some practical challenges: getting into a classroom in a way that doesn’t disrupt the other children; travelling to people’s homes; assessing the potential risks of a home-based workplace; modifying programs to keep up with children who are developing rapidly; and accommodating children’s social and therapeutic needs in primary and secondary school.</w:t>
      </w:r>
    </w:p>
    <w:p w14:paraId="4A1BD1F3" w14:textId="7B355355" w:rsidR="0C0C7774" w:rsidRDefault="0C0C7774" w:rsidP="0097062A">
      <w:pPr>
        <w:pStyle w:val="Heading4"/>
        <w:rPr>
          <w:lang w:val="en-US"/>
        </w:rPr>
      </w:pPr>
      <w:r w:rsidRPr="6AD0082D">
        <w:t>In touch with the local community</w:t>
      </w:r>
    </w:p>
    <w:p w14:paraId="098EBE46" w14:textId="72C6F16D" w:rsidR="0C0C7774" w:rsidRDefault="0C0C7774" w:rsidP="0097062A">
      <w:proofErr w:type="spellStart"/>
      <w:r>
        <w:t>Koorana</w:t>
      </w:r>
      <w:proofErr w:type="spellEnd"/>
      <w:r>
        <w:t xml:space="preserve"> is in tune with its community. As an example, when they saw families </w:t>
      </w:r>
      <w:r w:rsidR="00DA04F3">
        <w:t xml:space="preserve">who were </w:t>
      </w:r>
      <w:r>
        <w:t>struggling with the increased cost of living</w:t>
      </w:r>
      <w:r w:rsidR="00DA04F3">
        <w:t>,</w:t>
      </w:r>
      <w:r>
        <w:t xml:space="preserve"> looking for inexpensive school holiday activities, they ran a family fun day in a local park. Six hundred people turned up! The fun day was an outlet for children</w:t>
      </w:r>
      <w:r w:rsidR="007B461E">
        <w:t>, but more than that</w:t>
      </w:r>
      <w:r w:rsidR="00ED275E">
        <w:t xml:space="preserve">, </w:t>
      </w:r>
      <w:r w:rsidR="00FE5521">
        <w:t xml:space="preserve">for the </w:t>
      </w:r>
      <w:r>
        <w:t xml:space="preserve">many people in </w:t>
      </w:r>
      <w:proofErr w:type="spellStart"/>
      <w:r>
        <w:t>Koorana’s</w:t>
      </w:r>
      <w:proofErr w:type="spellEnd"/>
      <w:r>
        <w:t xml:space="preserve"> catchment </w:t>
      </w:r>
      <w:r w:rsidR="00F1738C">
        <w:t xml:space="preserve">who </w:t>
      </w:r>
      <w:r>
        <w:t xml:space="preserve">are first generation </w:t>
      </w:r>
      <w:r w:rsidR="00F1738C">
        <w:t>m</w:t>
      </w:r>
      <w:r>
        <w:t xml:space="preserve">igrants </w:t>
      </w:r>
      <w:r w:rsidR="00A70024">
        <w:t>with</w:t>
      </w:r>
      <w:r>
        <w:t xml:space="preserve"> no family in Australia</w:t>
      </w:r>
      <w:r w:rsidR="00A70024">
        <w:t xml:space="preserve">, it was a chance </w:t>
      </w:r>
      <w:r w:rsidR="003D7B1C">
        <w:t>for them to connect.</w:t>
      </w:r>
    </w:p>
    <w:p w14:paraId="721E9D3E" w14:textId="28A2EFA4" w:rsidR="0C0C7774" w:rsidRDefault="0C0C7774" w:rsidP="0097062A">
      <w:pPr>
        <w:pStyle w:val="Heading4"/>
        <w:rPr>
          <w:lang w:val="en-US"/>
        </w:rPr>
      </w:pPr>
      <w:r w:rsidRPr="6AD0082D">
        <w:t>Quality and safeguarding</w:t>
      </w:r>
    </w:p>
    <w:p w14:paraId="7E3CCBA3" w14:textId="77777777" w:rsidR="004316F3" w:rsidRDefault="0C0C7774" w:rsidP="0097062A">
      <w:r>
        <w:t xml:space="preserve">Working with children </w:t>
      </w:r>
      <w:r w:rsidR="00FC3C74">
        <w:t>calls for</w:t>
      </w:r>
      <w:r>
        <w:t xml:space="preserve"> the highest level of risk management and </w:t>
      </w:r>
      <w:proofErr w:type="spellStart"/>
      <w:r>
        <w:t>Koorana’s</w:t>
      </w:r>
      <w:proofErr w:type="spellEnd"/>
      <w:r>
        <w:t xml:space="preserve"> allied health practitioners are all AHPRA-registered. </w:t>
      </w:r>
      <w:r w:rsidR="003D7B1C">
        <w:t>With</w:t>
      </w:r>
      <w:r>
        <w:t xml:space="preserve"> a background </w:t>
      </w:r>
      <w:r w:rsidR="003D7B1C">
        <w:t>in</w:t>
      </w:r>
      <w:r>
        <w:t xml:space="preserve"> governance and operations in high-risk settings, Morgan has </w:t>
      </w:r>
      <w:r w:rsidR="36E1701F">
        <w:t xml:space="preserve">set up and </w:t>
      </w:r>
      <w:r>
        <w:t>implemented robust continuous improvement systems, positioning the organisation for quality audits.</w:t>
      </w:r>
    </w:p>
    <w:p w14:paraId="7B8EEA67" w14:textId="77777777" w:rsidR="004316F3" w:rsidRDefault="0C0C7774" w:rsidP="0097062A">
      <w:r>
        <w:t xml:space="preserve">But </w:t>
      </w:r>
      <w:r w:rsidR="003D7B1C">
        <w:t>this</w:t>
      </w:r>
      <w:r>
        <w:t xml:space="preserve"> is costly to implement and yet again we heard about the perversity of a system </w:t>
      </w:r>
      <w:r w:rsidR="00C15475">
        <w:t>that</w:t>
      </w:r>
      <w:r>
        <w:t xml:space="preserve"> requires registered providers to comply with best practice standards but does not compens</w:t>
      </w:r>
      <w:r w:rsidR="00BD7E05">
        <w:t>ate</w:t>
      </w:r>
      <w:r>
        <w:t xml:space="preserve"> them for administering the compliance.</w:t>
      </w:r>
    </w:p>
    <w:p w14:paraId="12D43FDD" w14:textId="7D5D3388" w:rsidR="0C0C7774" w:rsidRDefault="0C0C7774" w:rsidP="0097062A">
      <w:pPr>
        <w:pStyle w:val="Heading4"/>
        <w:rPr>
          <w:lang w:val="en-US"/>
        </w:rPr>
      </w:pPr>
      <w:r w:rsidRPr="6AD0082D">
        <w:lastRenderedPageBreak/>
        <w:t>The financial challenge</w:t>
      </w:r>
    </w:p>
    <w:p w14:paraId="59A24337" w14:textId="25A89A57" w:rsidR="0C0C7774" w:rsidRPr="00A715E8" w:rsidRDefault="0C0C7774" w:rsidP="0097062A">
      <w:proofErr w:type="spellStart"/>
      <w:r>
        <w:t>Koorana</w:t>
      </w:r>
      <w:proofErr w:type="spellEnd"/>
      <w:r>
        <w:t xml:space="preserve"> answers to many funding masters. NDIS participants contribute to its disability support services while state block funding pays for playgroups and the community preschools. We asked about the burden of accounting for separate avenues of funding and Morgan said that, even with a seven-million-dollar turnover, </w:t>
      </w:r>
      <w:proofErr w:type="spellStart"/>
      <w:r>
        <w:t>Koorana</w:t>
      </w:r>
      <w:proofErr w:type="spellEnd"/>
      <w:r>
        <w:t xml:space="preserve"> </w:t>
      </w:r>
      <w:r w:rsidR="00AF7F3A">
        <w:t xml:space="preserve">can only </w:t>
      </w:r>
      <w:r w:rsidR="00B92A84">
        <w:t xml:space="preserve">afford </w:t>
      </w:r>
      <w:r>
        <w:t>one administration officer</w:t>
      </w:r>
      <w:r w:rsidR="00B92A84">
        <w:t>.</w:t>
      </w:r>
      <w:r>
        <w:t xml:space="preserve"> </w:t>
      </w:r>
      <w:r w:rsidR="00FC3C74">
        <w:t>Plus,</w:t>
      </w:r>
      <w:r>
        <w:t xml:space="preserve"> the state funders do not allow organisations to accrue any surplus.</w:t>
      </w:r>
    </w:p>
    <w:p w14:paraId="49C528AE" w14:textId="77777777" w:rsidR="004316F3" w:rsidRDefault="0C0C7774" w:rsidP="0097062A">
      <w:r>
        <w:t>There has been no indexation to the</w:t>
      </w:r>
      <w:r w:rsidR="00AA539A">
        <w:t xml:space="preserve"> NDIS</w:t>
      </w:r>
      <w:r>
        <w:t xml:space="preserve"> pricing for allied health in five years, but </w:t>
      </w:r>
      <w:proofErr w:type="spellStart"/>
      <w:r>
        <w:t>Koorana’s</w:t>
      </w:r>
      <w:proofErr w:type="spellEnd"/>
      <w:r>
        <w:t xml:space="preserve"> staff costs have increased by 42 per cent in that time along with other inflationary increases</w:t>
      </w:r>
      <w:r w:rsidR="00937F30">
        <w:t>,</w:t>
      </w:r>
      <w:r>
        <w:t xml:space="preserve"> such as rent and electricity. With no more areas to strip back and no funds to employ more</w:t>
      </w:r>
      <w:r w:rsidR="00937F30">
        <w:t>,</w:t>
      </w:r>
      <w:r>
        <w:t xml:space="preserve"> staff must pick up the extra load. But Morgan and her managers are protecting their team and the quality of the services they deliver by offering good supervision and building in reflection time for the team.</w:t>
      </w:r>
    </w:p>
    <w:p w14:paraId="692E37B1" w14:textId="34C37751" w:rsidR="0C0C7774" w:rsidRDefault="0C0C7774" w:rsidP="0097062A">
      <w:pPr>
        <w:pStyle w:val="Heading4"/>
        <w:rPr>
          <w:lang w:val="en-US"/>
        </w:rPr>
      </w:pPr>
      <w:r w:rsidRPr="6AD0082D">
        <w:t>National collaboration with sector colleagues</w:t>
      </w:r>
    </w:p>
    <w:p w14:paraId="11BDE502" w14:textId="77777777" w:rsidR="004316F3" w:rsidRDefault="0C0C7774" w:rsidP="0097062A">
      <w:r>
        <w:t xml:space="preserve">In the past two years, </w:t>
      </w:r>
      <w:proofErr w:type="spellStart"/>
      <w:r>
        <w:t>Koorana</w:t>
      </w:r>
      <w:proofErr w:type="spellEnd"/>
      <w:r>
        <w:t xml:space="preserve"> has taken a leadership role, establishing a network of 19 providers called the Early Childhood Intervention Best Practice Network. The network includes providers from regional and remote areas of New South Wales, Queensland, the ACT and Victoria. Morgan also co-chairs another alliance </w:t>
      </w:r>
      <w:r w:rsidR="00DA04F3">
        <w:t>of</w:t>
      </w:r>
      <w:r>
        <w:t xml:space="preserve"> both NSW and national sector representatives working across the mainstream and disability ecosystem.</w:t>
      </w:r>
    </w:p>
    <w:p w14:paraId="0D4940DD" w14:textId="2BB67547" w:rsidR="0C0C7774" w:rsidRDefault="0C0C7774" w:rsidP="0097062A">
      <w:pPr>
        <w:rPr>
          <w:color w:val="000000" w:themeColor="text1"/>
          <w:lang w:val="en-US"/>
        </w:rPr>
      </w:pPr>
      <w:r>
        <w:t>While not formally organised, these two networks give providers avenues for supporting each other, sharing best practice and resources and joint problem solving. Providers also benefit from sharing policies, resources and strategies for staying sustainable in tricky financial times.</w:t>
      </w:r>
    </w:p>
    <w:p w14:paraId="5BCB9D76" w14:textId="77777777" w:rsidR="004316F3" w:rsidRDefault="0C0C7774" w:rsidP="0097062A">
      <w:r>
        <w:t xml:space="preserve">They are also a mechanism for delivering formal submissions and advocacy to government. For example, the combined voice of these providers is preparing for the upcoming foundational support consultations. Sitting on the NDS </w:t>
      </w:r>
      <w:r w:rsidR="009D6603">
        <w:t xml:space="preserve">NSW </w:t>
      </w:r>
      <w:r w:rsidR="00712C6B">
        <w:t>D</w:t>
      </w:r>
      <w:r w:rsidR="762BDFC4">
        <w:t xml:space="preserve">ivisional </w:t>
      </w:r>
      <w:r w:rsidR="00712C6B">
        <w:t>C</w:t>
      </w:r>
      <w:r>
        <w:t>ommittee provides Morgan another avenue for sharing valuable feedback from the networks.</w:t>
      </w:r>
    </w:p>
    <w:p w14:paraId="7A6885DA" w14:textId="77777777" w:rsidR="004316F3" w:rsidRDefault="0C0C7774" w:rsidP="0097062A">
      <w:pPr>
        <w:rPr>
          <w:color w:val="000000" w:themeColor="text1"/>
          <w:lang w:val="en-US"/>
        </w:rPr>
      </w:pPr>
      <w:r>
        <w:lastRenderedPageBreak/>
        <w:t xml:space="preserve">As well as connecting providers, the networks help NDIS participants, </w:t>
      </w:r>
      <w:r w:rsidR="00712C6B">
        <w:t>because</w:t>
      </w:r>
      <w:r>
        <w:t xml:space="preserve"> providers can signpost families to services with expertise </w:t>
      </w:r>
      <w:r w:rsidR="00712C6B">
        <w:t>in</w:t>
      </w:r>
      <w:r>
        <w:t xml:space="preserve"> their child’s support needs or to a vacancy </w:t>
      </w:r>
      <w:r w:rsidR="00712C6B">
        <w:t xml:space="preserve">that </w:t>
      </w:r>
      <w:r>
        <w:t>would suit a child.</w:t>
      </w:r>
    </w:p>
    <w:p w14:paraId="05648176" w14:textId="76A03044" w:rsidR="259B2D39" w:rsidRPr="00A715E8" w:rsidRDefault="259B2D39" w:rsidP="0097062A">
      <w:pPr>
        <w:pStyle w:val="Heading2"/>
      </w:pPr>
      <w:bookmarkStart w:id="87" w:name="_Toc180593632"/>
      <w:bookmarkStart w:id="88" w:name="_Toc181352005"/>
      <w:bookmarkStart w:id="89" w:name="_Toc184287169"/>
      <w:r w:rsidRPr="00A715E8">
        <w:lastRenderedPageBreak/>
        <w:t xml:space="preserve">Member story: </w:t>
      </w:r>
      <w:r w:rsidR="00A715E8" w:rsidRPr="00A715E8">
        <w:t>supporting</w:t>
      </w:r>
      <w:r w:rsidRPr="00A715E8">
        <w:t xml:space="preserve"> Aboriginal people with disability</w:t>
      </w:r>
      <w:bookmarkEnd w:id="87"/>
      <w:bookmarkEnd w:id="88"/>
      <w:bookmarkEnd w:id="89"/>
    </w:p>
    <w:p w14:paraId="0844A6C3" w14:textId="77777777" w:rsidR="004316F3" w:rsidRDefault="46267282" w:rsidP="0097062A">
      <w:pPr>
        <w:pStyle w:val="Heading3"/>
      </w:pPr>
      <w:proofErr w:type="spellStart"/>
      <w:r w:rsidRPr="2C7BACA7">
        <w:rPr>
          <w:lang w:val="en-US"/>
        </w:rPr>
        <w:t>InComPro</w:t>
      </w:r>
      <w:proofErr w:type="spellEnd"/>
      <w:r w:rsidRPr="2C7BACA7">
        <w:rPr>
          <w:lang w:val="en-US"/>
        </w:rPr>
        <w:t>, South Australia</w:t>
      </w:r>
    </w:p>
    <w:p w14:paraId="3AB5D13E" w14:textId="77777777" w:rsidR="004316F3" w:rsidRDefault="259B2D39" w:rsidP="0097062A">
      <w:pPr>
        <w:rPr>
          <w:lang w:val="en-US"/>
        </w:rPr>
      </w:pPr>
      <w:proofErr w:type="spellStart"/>
      <w:r w:rsidRPr="50E3E469">
        <w:rPr>
          <w:lang w:val="en-US"/>
        </w:rPr>
        <w:t>InComPro</w:t>
      </w:r>
      <w:proofErr w:type="spellEnd"/>
      <w:r w:rsidRPr="50E3E469">
        <w:rPr>
          <w:lang w:val="en-US"/>
        </w:rPr>
        <w:t xml:space="preserve"> was established in 2001 to provide a range of culturally appropriate services to the Aboriginal people, </w:t>
      </w:r>
      <w:proofErr w:type="spellStart"/>
      <w:r w:rsidRPr="50E3E469">
        <w:rPr>
          <w:lang w:val="en-US"/>
        </w:rPr>
        <w:t>organisations</w:t>
      </w:r>
      <w:proofErr w:type="spellEnd"/>
      <w:r w:rsidRPr="50E3E469">
        <w:rPr>
          <w:lang w:val="en-US"/>
        </w:rPr>
        <w:t xml:space="preserve"> and communities of South Australia. The name is an abbreviation of Indigenous Community Professionals. Today, </w:t>
      </w:r>
      <w:proofErr w:type="spellStart"/>
      <w:r w:rsidRPr="50E3E469">
        <w:rPr>
          <w:lang w:val="en-US"/>
        </w:rPr>
        <w:t>InComPro</w:t>
      </w:r>
      <w:proofErr w:type="spellEnd"/>
      <w:r w:rsidRPr="50E3E469">
        <w:rPr>
          <w:lang w:val="en-US"/>
        </w:rPr>
        <w:t xml:space="preserve"> offers a continuum of services </w:t>
      </w:r>
      <w:r w:rsidR="00734DD3">
        <w:rPr>
          <w:lang w:val="en-US"/>
        </w:rPr>
        <w:t>from</w:t>
      </w:r>
      <w:r w:rsidRPr="50E3E469">
        <w:rPr>
          <w:lang w:val="en-US"/>
        </w:rPr>
        <w:t xml:space="preserve"> over 150 experienced and dedicated staff.</w:t>
      </w:r>
    </w:p>
    <w:p w14:paraId="7D979972" w14:textId="77777777" w:rsidR="004316F3" w:rsidRDefault="00A715E8" w:rsidP="0097062A">
      <w:pPr>
        <w:pStyle w:val="Heading4"/>
      </w:pPr>
      <w:r w:rsidRPr="00A715E8">
        <w:t>Supporting</w:t>
      </w:r>
      <w:r w:rsidR="259B2D39" w:rsidRPr="00A715E8">
        <w:t xml:space="preserve"> the whole person</w:t>
      </w:r>
    </w:p>
    <w:p w14:paraId="1BDE7921" w14:textId="77777777" w:rsidR="004316F3" w:rsidRDefault="46267282" w:rsidP="0097062A">
      <w:pPr>
        <w:rPr>
          <w:lang w:val="en-US"/>
        </w:rPr>
      </w:pPr>
      <w:r w:rsidRPr="50E3E469">
        <w:rPr>
          <w:lang w:val="en-US"/>
        </w:rPr>
        <w:t>We spoke with COO Sarah Mellett</w:t>
      </w:r>
      <w:r w:rsidR="00EB5A69">
        <w:rPr>
          <w:lang w:val="en-US"/>
        </w:rPr>
        <w:t>,</w:t>
      </w:r>
      <w:r w:rsidRPr="50E3E469">
        <w:rPr>
          <w:lang w:val="en-US"/>
        </w:rPr>
        <w:t xml:space="preserve"> who described her service as </w:t>
      </w:r>
      <w:r w:rsidR="7B21EB34" w:rsidRPr="50E3E469">
        <w:rPr>
          <w:lang w:val="en-US"/>
        </w:rPr>
        <w:t>“</w:t>
      </w:r>
      <w:r w:rsidRPr="50E3E469">
        <w:rPr>
          <w:lang w:val="en-US"/>
        </w:rPr>
        <w:t>looking after people</w:t>
      </w:r>
      <w:r w:rsidR="1106AF0E" w:rsidRPr="50E3E469">
        <w:rPr>
          <w:lang w:val="en-US"/>
        </w:rPr>
        <w:t>”</w:t>
      </w:r>
      <w:r w:rsidRPr="50E3E469">
        <w:rPr>
          <w:lang w:val="en-US"/>
        </w:rPr>
        <w:t xml:space="preserve">, and </w:t>
      </w:r>
      <w:proofErr w:type="spellStart"/>
      <w:r w:rsidRPr="50E3E469">
        <w:rPr>
          <w:lang w:val="en-US"/>
        </w:rPr>
        <w:t>InComPro</w:t>
      </w:r>
      <w:proofErr w:type="spellEnd"/>
      <w:r w:rsidRPr="50E3E469">
        <w:rPr>
          <w:lang w:val="en-US"/>
        </w:rPr>
        <w:t xml:space="preserve"> does just that, seeing people as the sum of their needs. Beyond having a disability, some of their NDIS participants have been involved with the justice system; some have chronic health needs.</w:t>
      </w:r>
    </w:p>
    <w:p w14:paraId="58FEE53E" w14:textId="3BE6AF43" w:rsidR="259B2D39" w:rsidRPr="00A715E8" w:rsidRDefault="259B2D39" w:rsidP="0097062A">
      <w:pPr>
        <w:pStyle w:val="Heading4"/>
      </w:pPr>
      <w:r w:rsidRPr="00A715E8">
        <w:t>Preserving connections with country and community</w:t>
      </w:r>
    </w:p>
    <w:p w14:paraId="42E6B0FF" w14:textId="2AB74327" w:rsidR="259B2D39" w:rsidRDefault="259B2D39" w:rsidP="0097062A">
      <w:pPr>
        <w:rPr>
          <w:rFonts w:ascii="Aptos" w:eastAsia="Aptos" w:hAnsi="Aptos" w:cs="Aptos"/>
          <w:color w:val="000000" w:themeColor="text1"/>
        </w:rPr>
      </w:pPr>
      <w:r w:rsidRPr="644B5232">
        <w:rPr>
          <w:lang w:val="en-US"/>
        </w:rPr>
        <w:t xml:space="preserve">When Aboriginal NDIS participants travel to Adelaide from, say, APY Lands for appointments </w:t>
      </w:r>
      <w:r w:rsidR="006028B1">
        <w:rPr>
          <w:lang w:val="en-US"/>
        </w:rPr>
        <w:t>to meet</w:t>
      </w:r>
      <w:r w:rsidRPr="644B5232">
        <w:rPr>
          <w:lang w:val="en-US"/>
        </w:rPr>
        <w:t xml:space="preserve"> their disability needs, they may have difficulty returning home, becoming displaced from their communities and their culture.</w:t>
      </w:r>
    </w:p>
    <w:p w14:paraId="79F5D725" w14:textId="77777777" w:rsidR="004316F3" w:rsidRDefault="259B2D39" w:rsidP="0097062A">
      <w:pPr>
        <w:rPr>
          <w:lang w:val="en-US"/>
        </w:rPr>
      </w:pPr>
      <w:r w:rsidRPr="644B5232">
        <w:rPr>
          <w:lang w:val="en-US"/>
        </w:rPr>
        <w:t xml:space="preserve">Sarah explained that Aboriginal people can no longer use their NDIS funding to return to </w:t>
      </w:r>
      <w:proofErr w:type="gramStart"/>
      <w:r w:rsidRPr="644B5232">
        <w:rPr>
          <w:lang w:val="en-US"/>
        </w:rPr>
        <w:t>country</w:t>
      </w:r>
      <w:proofErr w:type="gramEnd"/>
      <w:r w:rsidR="00A715E8">
        <w:rPr>
          <w:lang w:val="en-US"/>
        </w:rPr>
        <w:t>, because</w:t>
      </w:r>
      <w:r w:rsidRPr="644B5232">
        <w:rPr>
          <w:lang w:val="en-US"/>
        </w:rPr>
        <w:t xml:space="preserve"> permission ceased years ago. When an Aboriginal SIL participant needs or wants to return to </w:t>
      </w:r>
      <w:proofErr w:type="gramStart"/>
      <w:r w:rsidRPr="644B5232">
        <w:rPr>
          <w:lang w:val="en-US"/>
        </w:rPr>
        <w:t>country</w:t>
      </w:r>
      <w:proofErr w:type="gramEnd"/>
      <w:r w:rsidRPr="644B5232">
        <w:rPr>
          <w:lang w:val="en-US"/>
        </w:rPr>
        <w:t>, the lack of funding hinders them</w:t>
      </w:r>
      <w:r w:rsidR="00EB5A69">
        <w:rPr>
          <w:lang w:val="en-US"/>
        </w:rPr>
        <w:t>.</w:t>
      </w:r>
      <w:r w:rsidRPr="644B5232">
        <w:rPr>
          <w:lang w:val="en-US"/>
        </w:rPr>
        <w:t xml:space="preserve"> Unfortunately, this causes </w:t>
      </w:r>
      <w:r w:rsidR="00211691">
        <w:rPr>
          <w:lang w:val="en-US"/>
        </w:rPr>
        <w:t>a disconnection</w:t>
      </w:r>
      <w:r w:rsidRPr="644B5232">
        <w:rPr>
          <w:lang w:val="en-US"/>
        </w:rPr>
        <w:t xml:space="preserve"> from Country, </w:t>
      </w:r>
      <w:r w:rsidR="00BA7D5A" w:rsidRPr="7AF2B014">
        <w:rPr>
          <w:lang w:val="en-US"/>
        </w:rPr>
        <w:t>c</w:t>
      </w:r>
      <w:r w:rsidRPr="7AF2B014">
        <w:rPr>
          <w:lang w:val="en-US"/>
        </w:rPr>
        <w:t>ulture</w:t>
      </w:r>
      <w:r w:rsidRPr="644B5232">
        <w:rPr>
          <w:lang w:val="en-US"/>
        </w:rPr>
        <w:t xml:space="preserve"> and </w:t>
      </w:r>
      <w:r w:rsidR="00BA7D5A" w:rsidRPr="0A6E2855">
        <w:rPr>
          <w:lang w:val="en-US"/>
        </w:rPr>
        <w:t>f</w:t>
      </w:r>
      <w:r w:rsidRPr="0A6E2855">
        <w:rPr>
          <w:lang w:val="en-US"/>
        </w:rPr>
        <w:t>amily.</w:t>
      </w:r>
    </w:p>
    <w:p w14:paraId="5BFCFCFF" w14:textId="77777777" w:rsidR="004316F3" w:rsidRDefault="259B2D39" w:rsidP="0097062A">
      <w:pPr>
        <w:rPr>
          <w:lang w:val="en-US"/>
        </w:rPr>
      </w:pPr>
      <w:r w:rsidRPr="50E3E469">
        <w:rPr>
          <w:lang w:val="en-US"/>
        </w:rPr>
        <w:t>Being stranded in an unfamiliar place can lead to both homelessness and offending with the individual ending up in a prison cell. Typically, following release</w:t>
      </w:r>
      <w:r w:rsidR="00777B8A" w:rsidRPr="50E3E469">
        <w:rPr>
          <w:lang w:val="en-US"/>
        </w:rPr>
        <w:t xml:space="preserve"> from custody</w:t>
      </w:r>
      <w:r w:rsidRPr="50E3E469">
        <w:rPr>
          <w:lang w:val="en-US"/>
        </w:rPr>
        <w:t xml:space="preserve">, the person cannot get home, </w:t>
      </w:r>
      <w:r w:rsidR="00FC3C74">
        <w:rPr>
          <w:lang w:val="en-US"/>
        </w:rPr>
        <w:t>re-offends</w:t>
      </w:r>
      <w:r w:rsidRPr="50E3E469">
        <w:rPr>
          <w:lang w:val="en-US"/>
        </w:rPr>
        <w:t xml:space="preserve">, and the cycle continues. </w:t>
      </w:r>
      <w:proofErr w:type="spellStart"/>
      <w:r w:rsidRPr="50E3E469">
        <w:rPr>
          <w:lang w:val="en-US"/>
        </w:rPr>
        <w:t>InComPro</w:t>
      </w:r>
      <w:proofErr w:type="spellEnd"/>
      <w:r w:rsidRPr="50E3E469">
        <w:rPr>
          <w:lang w:val="en-US"/>
        </w:rPr>
        <w:t xml:space="preserve"> works hard to repatriate displaced people, usually with great results.</w:t>
      </w:r>
    </w:p>
    <w:p w14:paraId="14F0638A" w14:textId="77777777" w:rsidR="004316F3" w:rsidRDefault="259B2D39" w:rsidP="0097062A">
      <w:pPr>
        <w:rPr>
          <w:lang w:val="en-US"/>
        </w:rPr>
      </w:pPr>
      <w:proofErr w:type="spellStart"/>
      <w:r w:rsidRPr="644B5232">
        <w:rPr>
          <w:lang w:val="en-US"/>
        </w:rPr>
        <w:t>InComPro</w:t>
      </w:r>
      <w:proofErr w:type="spellEnd"/>
      <w:r w:rsidRPr="644B5232">
        <w:rPr>
          <w:lang w:val="en-US"/>
        </w:rPr>
        <w:t xml:space="preserve"> also works with participants who may have offended in their community and have been told to leave. Sarah’s team helps them rebuild their relationship with </w:t>
      </w:r>
      <w:r w:rsidRPr="644B5232">
        <w:rPr>
          <w:lang w:val="en-US"/>
        </w:rPr>
        <w:lastRenderedPageBreak/>
        <w:t xml:space="preserve">their community and put support measures in places to reduce the chances of them </w:t>
      </w:r>
      <w:r w:rsidR="00FC3C74">
        <w:rPr>
          <w:lang w:val="en-US"/>
        </w:rPr>
        <w:t>re-offending</w:t>
      </w:r>
      <w:r w:rsidRPr="644B5232">
        <w:rPr>
          <w:lang w:val="en-US"/>
        </w:rPr>
        <w:t>.</w:t>
      </w:r>
    </w:p>
    <w:p w14:paraId="31318DD6" w14:textId="77777777" w:rsidR="004316F3" w:rsidRDefault="259B2D39" w:rsidP="0097062A">
      <w:pPr>
        <w:pStyle w:val="Heading4"/>
      </w:pPr>
      <w:r w:rsidRPr="006028B1">
        <w:t>A sense of inequity</w:t>
      </w:r>
    </w:p>
    <w:p w14:paraId="0CB3612D" w14:textId="77777777" w:rsidR="004316F3" w:rsidRDefault="46267282" w:rsidP="0097062A">
      <w:pPr>
        <w:rPr>
          <w:lang w:val="en-US"/>
        </w:rPr>
      </w:pPr>
      <w:r w:rsidRPr="50E3E469">
        <w:rPr>
          <w:lang w:val="en-US"/>
        </w:rPr>
        <w:t xml:space="preserve">Sarah spoke about instances where Aboriginal NDIS participants are not being referred to the service by support </w:t>
      </w:r>
      <w:r w:rsidR="00FC3C74">
        <w:rPr>
          <w:lang w:val="en-US"/>
        </w:rPr>
        <w:t>coordinators</w:t>
      </w:r>
      <w:r w:rsidRPr="50E3E469">
        <w:rPr>
          <w:lang w:val="en-US"/>
        </w:rPr>
        <w:t xml:space="preserve"> for no clear reason. She also described frustration when </w:t>
      </w:r>
      <w:r w:rsidR="00437A3C" w:rsidRPr="08EF27B9">
        <w:rPr>
          <w:lang w:val="en-US"/>
        </w:rPr>
        <w:t>her</w:t>
      </w:r>
      <w:r w:rsidRPr="50E3E469">
        <w:rPr>
          <w:lang w:val="en-US"/>
        </w:rPr>
        <w:t xml:space="preserve"> service was reported to the Quality and Safeguards Commission for </w:t>
      </w:r>
      <w:r w:rsidR="61245A37" w:rsidRPr="50E3E469">
        <w:rPr>
          <w:lang w:val="en-US"/>
        </w:rPr>
        <w:t>“</w:t>
      </w:r>
      <w:r w:rsidRPr="50E3E469">
        <w:rPr>
          <w:lang w:val="en-US"/>
        </w:rPr>
        <w:t>using restrictive practices unfairly</w:t>
      </w:r>
      <w:r w:rsidR="3F55DF14" w:rsidRPr="50E3E469">
        <w:rPr>
          <w:lang w:val="en-US"/>
        </w:rPr>
        <w:t>”</w:t>
      </w:r>
      <w:r w:rsidRPr="50E3E469">
        <w:rPr>
          <w:lang w:val="en-US"/>
        </w:rPr>
        <w:t>. The situation took place in supported accommodation when the service removed a participant’s drug paraphernalia from the kitchen table for the safety of other residents.</w:t>
      </w:r>
    </w:p>
    <w:p w14:paraId="1B1A7EF5" w14:textId="77777777" w:rsidR="004316F3" w:rsidRDefault="6672F5C4" w:rsidP="0097062A">
      <w:pPr>
        <w:rPr>
          <w:lang w:val="en-US"/>
        </w:rPr>
      </w:pPr>
      <w:r w:rsidRPr="50E3E469">
        <w:rPr>
          <w:lang w:val="en-US"/>
        </w:rPr>
        <w:t xml:space="preserve">When we asked how she felt about not receiving referrals or being reported to the Quality and Safeguards Commission, Sarah </w:t>
      </w:r>
      <w:r w:rsidR="2F917849" w:rsidRPr="1595A0FA">
        <w:rPr>
          <w:lang w:val="en-US"/>
        </w:rPr>
        <w:t xml:space="preserve">said, </w:t>
      </w:r>
      <w:r w:rsidR="0DD151A1" w:rsidRPr="50E3E469">
        <w:rPr>
          <w:lang w:val="en-US"/>
        </w:rPr>
        <w:t>“</w:t>
      </w:r>
      <w:r w:rsidR="46267282" w:rsidRPr="50E3E469">
        <w:rPr>
          <w:lang w:val="en-US"/>
        </w:rPr>
        <w:t xml:space="preserve">We know we have the right processes and procedures in place to keep people safe. We have strategies to protect our staff and </w:t>
      </w:r>
      <w:r w:rsidR="02E40B2D" w:rsidRPr="50E3E469">
        <w:rPr>
          <w:lang w:val="en-US"/>
        </w:rPr>
        <w:t>participants,</w:t>
      </w:r>
      <w:r w:rsidR="46267282" w:rsidRPr="50E3E469">
        <w:rPr>
          <w:lang w:val="en-US"/>
        </w:rPr>
        <w:t xml:space="preserve"> quickly managing any unacceptable </w:t>
      </w:r>
      <w:proofErr w:type="spellStart"/>
      <w:r w:rsidR="46267282" w:rsidRPr="50E3E469">
        <w:rPr>
          <w:lang w:val="en-US"/>
        </w:rPr>
        <w:t>behaviour</w:t>
      </w:r>
      <w:proofErr w:type="spellEnd"/>
      <w:r w:rsidR="46267282" w:rsidRPr="50E3E469">
        <w:rPr>
          <w:lang w:val="en-US"/>
        </w:rPr>
        <w:t xml:space="preserve"> and self-reporting to the Quality and Safeguards </w:t>
      </w:r>
      <w:proofErr w:type="gramStart"/>
      <w:r w:rsidR="46267282" w:rsidRPr="50E3E469">
        <w:rPr>
          <w:lang w:val="en-US"/>
        </w:rPr>
        <w:t>Commission.</w:t>
      </w:r>
      <w:r w:rsidR="7C3BD61F" w:rsidRPr="50E3E469">
        <w:rPr>
          <w:lang w:val="en-US"/>
        </w:rPr>
        <w:t>”</w:t>
      </w:r>
      <w:proofErr w:type="gramEnd"/>
    </w:p>
    <w:p w14:paraId="29DB5948" w14:textId="77777777" w:rsidR="004316F3" w:rsidRDefault="259B2D39" w:rsidP="0097062A">
      <w:pPr>
        <w:pStyle w:val="Heading4"/>
      </w:pPr>
      <w:r w:rsidRPr="006028B1">
        <w:t>Inadequate funding for SIL</w:t>
      </w:r>
    </w:p>
    <w:p w14:paraId="2676A803" w14:textId="77777777" w:rsidR="004316F3" w:rsidRDefault="259B2D39" w:rsidP="0097062A">
      <w:pPr>
        <w:rPr>
          <w:lang w:val="en-US"/>
        </w:rPr>
      </w:pPr>
      <w:r w:rsidRPr="50E3E469">
        <w:rPr>
          <w:lang w:val="en-US"/>
        </w:rPr>
        <w:t xml:space="preserve">We spoke about funding challenges and Sarah said the disability funding does not align with the industrial award rates for SIL staff. When we asked how </w:t>
      </w:r>
      <w:proofErr w:type="spellStart"/>
      <w:r w:rsidRPr="50E3E469">
        <w:rPr>
          <w:lang w:val="en-US"/>
        </w:rPr>
        <w:t>InComPro</w:t>
      </w:r>
      <w:proofErr w:type="spellEnd"/>
      <w:r w:rsidRPr="50E3E469">
        <w:rPr>
          <w:lang w:val="en-US"/>
        </w:rPr>
        <w:t xml:space="preserve"> manages the shortfall, Sarah said they work smart — for example, </w:t>
      </w:r>
      <w:proofErr w:type="gramStart"/>
      <w:r w:rsidRPr="50E3E469">
        <w:rPr>
          <w:lang w:val="en-US"/>
        </w:rPr>
        <w:t>situating</w:t>
      </w:r>
      <w:proofErr w:type="gramEnd"/>
      <w:r w:rsidRPr="50E3E469">
        <w:rPr>
          <w:lang w:val="en-US"/>
        </w:rPr>
        <w:t xml:space="preserve"> a house where funding covers only eight hours of support next to a 24-hour staffed home, so people are not left without critical overnight medication.</w:t>
      </w:r>
      <w:r w:rsidR="20E77D08" w:rsidRPr="50E3E469">
        <w:rPr>
          <w:lang w:val="en-US"/>
        </w:rPr>
        <w:t xml:space="preserve"> </w:t>
      </w:r>
      <w:r w:rsidRPr="50E3E469">
        <w:rPr>
          <w:lang w:val="en-US"/>
        </w:rPr>
        <w:t>For other shortfalls, they partner with community services like Lighthouse Mission.</w:t>
      </w:r>
    </w:p>
    <w:p w14:paraId="0D4E2256" w14:textId="77777777" w:rsidR="004316F3" w:rsidRDefault="259B2D39" w:rsidP="0097062A">
      <w:pPr>
        <w:pStyle w:val="Heading4"/>
      </w:pPr>
      <w:r w:rsidRPr="006028B1">
        <w:t>Managing delayed funding</w:t>
      </w:r>
    </w:p>
    <w:p w14:paraId="3E1980CD" w14:textId="77777777" w:rsidR="004316F3" w:rsidRDefault="259B2D39" w:rsidP="0097062A">
      <w:pPr>
        <w:rPr>
          <w:lang w:val="en-US"/>
        </w:rPr>
      </w:pPr>
      <w:r w:rsidRPr="50E3E469">
        <w:rPr>
          <w:lang w:val="en-US"/>
        </w:rPr>
        <w:t xml:space="preserve">Another pain point for </w:t>
      </w:r>
      <w:proofErr w:type="spellStart"/>
      <w:r w:rsidRPr="50E3E469">
        <w:rPr>
          <w:lang w:val="en-US"/>
        </w:rPr>
        <w:t>InComPro</w:t>
      </w:r>
      <w:proofErr w:type="spellEnd"/>
      <w:r w:rsidRPr="50E3E469">
        <w:rPr>
          <w:lang w:val="en-US"/>
        </w:rPr>
        <w:t xml:space="preserve"> (and other </w:t>
      </w:r>
      <w:r w:rsidR="000C7832" w:rsidRPr="50E3E469">
        <w:rPr>
          <w:lang w:val="en-US"/>
        </w:rPr>
        <w:t>providers</w:t>
      </w:r>
      <w:r w:rsidRPr="50E3E469">
        <w:rPr>
          <w:lang w:val="en-US"/>
        </w:rPr>
        <w:t xml:space="preserve">) is </w:t>
      </w:r>
      <w:r w:rsidR="00AA539A">
        <w:rPr>
          <w:lang w:val="en-US"/>
        </w:rPr>
        <w:t xml:space="preserve">the </w:t>
      </w:r>
      <w:r w:rsidRPr="50E3E469">
        <w:rPr>
          <w:lang w:val="en-US"/>
        </w:rPr>
        <w:t xml:space="preserve">NDIA’s payment in arrears arrangement. She reflects that the previous model of block funding had been better for </w:t>
      </w:r>
      <w:proofErr w:type="spellStart"/>
      <w:r w:rsidRPr="50E3E469">
        <w:rPr>
          <w:lang w:val="en-US"/>
        </w:rPr>
        <w:t>InComPro</w:t>
      </w:r>
      <w:proofErr w:type="spellEnd"/>
      <w:r w:rsidRPr="50E3E469">
        <w:rPr>
          <w:lang w:val="en-US"/>
        </w:rPr>
        <w:t xml:space="preserve"> because they had the funds on time, they understood the needs of their service </w:t>
      </w:r>
      <w:r w:rsidR="00AD077F" w:rsidRPr="50E3E469">
        <w:rPr>
          <w:lang w:val="en-US"/>
        </w:rPr>
        <w:t>users</w:t>
      </w:r>
      <w:r w:rsidR="00AD077F">
        <w:rPr>
          <w:lang w:val="en-US"/>
        </w:rPr>
        <w:t xml:space="preserve"> and</w:t>
      </w:r>
      <w:r w:rsidRPr="50E3E469">
        <w:rPr>
          <w:lang w:val="en-US"/>
        </w:rPr>
        <w:t xml:space="preserve"> were able to help in flexible ways. They were still accountable for their funds and the quality of the support — but it just worked better.</w:t>
      </w:r>
    </w:p>
    <w:p w14:paraId="083AEBEF" w14:textId="77777777" w:rsidR="004316F3" w:rsidRDefault="259B2D39" w:rsidP="0097062A">
      <w:pPr>
        <w:pStyle w:val="Heading4"/>
      </w:pPr>
      <w:r w:rsidRPr="006028B1">
        <w:t>Too many stakeholders</w:t>
      </w:r>
    </w:p>
    <w:p w14:paraId="2FD02340" w14:textId="736F19BA" w:rsidR="259B2D39" w:rsidRDefault="259B2D39" w:rsidP="0097062A">
      <w:pPr>
        <w:rPr>
          <w:lang w:val="en-US"/>
        </w:rPr>
      </w:pPr>
      <w:r w:rsidRPr="644B5232">
        <w:rPr>
          <w:lang w:val="en-US"/>
        </w:rPr>
        <w:t>While</w:t>
      </w:r>
      <w:r w:rsidR="00AA539A">
        <w:rPr>
          <w:lang w:val="en-US"/>
        </w:rPr>
        <w:t xml:space="preserve"> the</w:t>
      </w:r>
      <w:r w:rsidRPr="644B5232">
        <w:rPr>
          <w:lang w:val="en-US"/>
        </w:rPr>
        <w:t xml:space="preserve"> NDIS is based on choice and control for participants, Sarah said it does not work well when a participant is involved with multiple stakeholders. As well as the involvement of support coordinators, the finance and affairs of many </w:t>
      </w:r>
      <w:proofErr w:type="spellStart"/>
      <w:r w:rsidRPr="644B5232">
        <w:rPr>
          <w:lang w:val="en-US"/>
        </w:rPr>
        <w:t>InComPro</w:t>
      </w:r>
      <w:proofErr w:type="spellEnd"/>
      <w:r w:rsidRPr="644B5232">
        <w:rPr>
          <w:lang w:val="en-US"/>
        </w:rPr>
        <w:t xml:space="preserve"> </w:t>
      </w:r>
      <w:r w:rsidRPr="644B5232">
        <w:rPr>
          <w:lang w:val="en-US"/>
        </w:rPr>
        <w:lastRenderedPageBreak/>
        <w:t xml:space="preserve">service users are controlled by the Public Trustee. </w:t>
      </w:r>
      <w:r w:rsidR="5EBAD969" w:rsidRPr="644B5232">
        <w:rPr>
          <w:lang w:val="en-US"/>
        </w:rPr>
        <w:t>“</w:t>
      </w:r>
      <w:r w:rsidRPr="644B5232">
        <w:rPr>
          <w:lang w:val="en-US"/>
        </w:rPr>
        <w:t>I found a lot of major decisions are being made by people that haven't even actually met the participant … and a lot of people don’t understand Aboriginal people, the importance of cultural connection.</w:t>
      </w:r>
      <w:r w:rsidR="04219B31" w:rsidRPr="644B5232">
        <w:rPr>
          <w:lang w:val="en-US"/>
        </w:rPr>
        <w:t>”</w:t>
      </w:r>
    </w:p>
    <w:p w14:paraId="7C1CFB1B" w14:textId="77777777" w:rsidR="004316F3" w:rsidRDefault="259B2D39" w:rsidP="0097062A">
      <w:pPr>
        <w:pStyle w:val="Heading4"/>
        <w:rPr>
          <w:lang w:val="en-US"/>
        </w:rPr>
      </w:pPr>
      <w:r w:rsidRPr="50E3E469">
        <w:rPr>
          <w:lang w:val="en-US"/>
        </w:rPr>
        <w:t>Nell’s story</w:t>
      </w:r>
    </w:p>
    <w:p w14:paraId="11DAD916" w14:textId="77777777" w:rsidR="004316F3" w:rsidRDefault="259B2D39" w:rsidP="0097062A">
      <w:pPr>
        <w:rPr>
          <w:lang w:val="en-US"/>
        </w:rPr>
      </w:pPr>
      <w:r w:rsidRPr="50E3E469">
        <w:rPr>
          <w:lang w:val="en-US"/>
        </w:rPr>
        <w:t xml:space="preserve">Nell* is in her </w:t>
      </w:r>
      <w:proofErr w:type="gramStart"/>
      <w:r w:rsidRPr="50E3E469">
        <w:rPr>
          <w:lang w:val="en-US"/>
        </w:rPr>
        <w:t>mid to late</w:t>
      </w:r>
      <w:proofErr w:type="gramEnd"/>
      <w:r w:rsidRPr="50E3E469">
        <w:rPr>
          <w:lang w:val="en-US"/>
        </w:rPr>
        <w:t xml:space="preserve"> forties and had been in and out of prison most of her life when </w:t>
      </w:r>
      <w:proofErr w:type="spellStart"/>
      <w:r w:rsidRPr="50E3E469">
        <w:rPr>
          <w:lang w:val="en-US"/>
        </w:rPr>
        <w:t>InComPro</w:t>
      </w:r>
      <w:proofErr w:type="spellEnd"/>
      <w:r w:rsidRPr="50E3E469">
        <w:rPr>
          <w:lang w:val="en-US"/>
        </w:rPr>
        <w:t xml:space="preserve"> started supporting </w:t>
      </w:r>
      <w:r w:rsidR="00437A3C" w:rsidRPr="37E701CA">
        <w:rPr>
          <w:lang w:val="en-US"/>
        </w:rPr>
        <w:t>her</w:t>
      </w:r>
      <w:r w:rsidRPr="50E3E469">
        <w:rPr>
          <w:lang w:val="en-US"/>
        </w:rPr>
        <w:t xml:space="preserve"> four</w:t>
      </w:r>
      <w:r w:rsidR="006E20E9">
        <w:rPr>
          <w:lang w:val="en-US"/>
        </w:rPr>
        <w:t>-</w:t>
      </w:r>
      <w:r w:rsidRPr="50E3E469">
        <w:rPr>
          <w:lang w:val="en-US"/>
        </w:rPr>
        <w:t>and</w:t>
      </w:r>
      <w:r w:rsidR="006E20E9">
        <w:rPr>
          <w:lang w:val="en-US"/>
        </w:rPr>
        <w:t>-</w:t>
      </w:r>
      <w:r w:rsidRPr="50E3E469">
        <w:rPr>
          <w:lang w:val="en-US"/>
        </w:rPr>
        <w:t>a</w:t>
      </w:r>
      <w:r w:rsidR="006E20E9">
        <w:rPr>
          <w:lang w:val="en-US"/>
        </w:rPr>
        <w:t>-</w:t>
      </w:r>
      <w:r w:rsidRPr="50E3E469">
        <w:rPr>
          <w:lang w:val="en-US"/>
        </w:rPr>
        <w:t>half years ago.</w:t>
      </w:r>
    </w:p>
    <w:p w14:paraId="4E72CA06" w14:textId="77777777" w:rsidR="004316F3" w:rsidRDefault="259B2D39" w:rsidP="0097062A">
      <w:pPr>
        <w:rPr>
          <w:lang w:val="en-US"/>
        </w:rPr>
      </w:pPr>
      <w:r w:rsidRPr="644B5232">
        <w:rPr>
          <w:lang w:val="en-US"/>
        </w:rPr>
        <w:t>She has not returned to prison</w:t>
      </w:r>
      <w:r w:rsidR="00AA539A">
        <w:rPr>
          <w:lang w:val="en-US"/>
        </w:rPr>
        <w:t xml:space="preserve"> since</w:t>
      </w:r>
      <w:r w:rsidRPr="644B5232">
        <w:rPr>
          <w:lang w:val="en-US"/>
        </w:rPr>
        <w:t>.</w:t>
      </w:r>
    </w:p>
    <w:p w14:paraId="06A6AD4D" w14:textId="77777777" w:rsidR="004316F3" w:rsidRDefault="259B2D39" w:rsidP="0097062A">
      <w:pPr>
        <w:rPr>
          <w:lang w:val="en-US"/>
        </w:rPr>
      </w:pPr>
      <w:r w:rsidRPr="644B5232">
        <w:rPr>
          <w:lang w:val="en-US"/>
        </w:rPr>
        <w:t xml:space="preserve">When Sarah met Nell, she had not returned home for a very long time. She had become disconnected from her family on the South Australian far west coast and the Public Trustee maintained Nell did not have enough money in her account to travel back. ‘We knew she needed it, and she had broken the cycle of reoffending, so we </w:t>
      </w:r>
      <w:proofErr w:type="gramStart"/>
      <w:r w:rsidRPr="644B5232">
        <w:rPr>
          <w:lang w:val="en-US"/>
        </w:rPr>
        <w:t>supported</w:t>
      </w:r>
      <w:proofErr w:type="gramEnd"/>
      <w:r w:rsidRPr="644B5232">
        <w:rPr>
          <w:lang w:val="en-US"/>
        </w:rPr>
        <w:t xml:space="preserve"> her to get back. You know, sometimes you </w:t>
      </w:r>
      <w:proofErr w:type="gramStart"/>
      <w:r w:rsidRPr="644B5232">
        <w:rPr>
          <w:lang w:val="en-US"/>
        </w:rPr>
        <w:t>have to</w:t>
      </w:r>
      <w:proofErr w:type="gramEnd"/>
      <w:r w:rsidRPr="644B5232">
        <w:rPr>
          <w:lang w:val="en-US"/>
        </w:rPr>
        <w:t>. That’s choice and control.’ Using Nell’s STA funding gave her a week home</w:t>
      </w:r>
      <w:r w:rsidRPr="4D43059B">
        <w:rPr>
          <w:lang w:val="en-US"/>
        </w:rPr>
        <w:t xml:space="preserve"> </w:t>
      </w:r>
      <w:proofErr w:type="gramStart"/>
      <w:r w:rsidR="03A6C79E" w:rsidRPr="4D43059B">
        <w:rPr>
          <w:lang w:val="en-US"/>
        </w:rPr>
        <w:t>on</w:t>
      </w:r>
      <w:proofErr w:type="gramEnd"/>
      <w:r w:rsidR="03A6C79E" w:rsidRPr="4D43059B">
        <w:rPr>
          <w:lang w:val="en-US"/>
        </w:rPr>
        <w:t xml:space="preserve"> </w:t>
      </w:r>
      <w:r w:rsidR="60516461" w:rsidRPr="4D43059B">
        <w:rPr>
          <w:lang w:val="en-US"/>
        </w:rPr>
        <w:t>Country,</w:t>
      </w:r>
      <w:r w:rsidRPr="644B5232">
        <w:rPr>
          <w:lang w:val="en-US"/>
        </w:rPr>
        <w:t xml:space="preserve"> supported by an </w:t>
      </w:r>
      <w:proofErr w:type="spellStart"/>
      <w:r w:rsidRPr="644B5232">
        <w:rPr>
          <w:lang w:val="en-US"/>
        </w:rPr>
        <w:t>InComPro</w:t>
      </w:r>
      <w:proofErr w:type="spellEnd"/>
      <w:r w:rsidRPr="644B5232">
        <w:rPr>
          <w:lang w:val="en-US"/>
        </w:rPr>
        <w:t xml:space="preserve"> worker.</w:t>
      </w:r>
    </w:p>
    <w:p w14:paraId="68656ADB" w14:textId="77777777" w:rsidR="004316F3" w:rsidRDefault="46267282" w:rsidP="0097062A">
      <w:pPr>
        <w:rPr>
          <w:lang w:val="en-US"/>
        </w:rPr>
      </w:pPr>
      <w:r w:rsidRPr="50E3E469">
        <w:rPr>
          <w:lang w:val="en-US"/>
        </w:rPr>
        <w:t xml:space="preserve">When Nell came back, she told Sarah stories about seeing her mum and dad, flashing photos and presenting Sarah with a beautiful </w:t>
      </w:r>
      <w:r w:rsidR="0076126E">
        <w:rPr>
          <w:lang w:val="en-US"/>
        </w:rPr>
        <w:t>emu egg she had</w:t>
      </w:r>
      <w:r w:rsidRPr="50E3E469">
        <w:rPr>
          <w:lang w:val="en-US"/>
        </w:rPr>
        <w:t xml:space="preserve"> painted. She’s planning another trip in about six months.</w:t>
      </w:r>
    </w:p>
    <w:p w14:paraId="343E76F2" w14:textId="77777777" w:rsidR="004316F3" w:rsidRDefault="46267282" w:rsidP="0097062A">
      <w:pPr>
        <w:rPr>
          <w:lang w:val="en-US"/>
        </w:rPr>
      </w:pPr>
      <w:r w:rsidRPr="50E3E469">
        <w:rPr>
          <w:lang w:val="en-US"/>
        </w:rPr>
        <w:t xml:space="preserve">Sarah hopes one day Nell will have her own place and look after herself. She currently has support workers around the clock. </w:t>
      </w:r>
      <w:r w:rsidR="6B3EE73A" w:rsidRPr="50E3E469">
        <w:rPr>
          <w:lang w:val="en-US"/>
        </w:rPr>
        <w:t>“</w:t>
      </w:r>
      <w:r w:rsidRPr="50E3E469">
        <w:rPr>
          <w:lang w:val="en-US"/>
        </w:rPr>
        <w:t xml:space="preserve">She doesn't like it. We don't like it. She's a mother, she's a grandmother. But you know, at this point in her life, she still </w:t>
      </w:r>
      <w:r w:rsidR="69318625" w:rsidRPr="1595A0FA">
        <w:rPr>
          <w:lang w:val="en-US"/>
        </w:rPr>
        <w:t>needs that support</w:t>
      </w:r>
      <w:r w:rsidRPr="50E3E469">
        <w:rPr>
          <w:lang w:val="en-US"/>
        </w:rPr>
        <w:t>.</w:t>
      </w:r>
      <w:r w:rsidR="031948DF" w:rsidRPr="50E3E469">
        <w:rPr>
          <w:lang w:val="en-US"/>
        </w:rPr>
        <w:t>”</w:t>
      </w:r>
    </w:p>
    <w:p w14:paraId="6F980DE4" w14:textId="77777777" w:rsidR="004316F3" w:rsidRDefault="259B2D39" w:rsidP="0097062A">
      <w:pPr>
        <w:rPr>
          <w:lang w:val="en-US"/>
        </w:rPr>
      </w:pPr>
      <w:r w:rsidRPr="644B5232">
        <w:rPr>
          <w:lang w:val="en-US"/>
        </w:rPr>
        <w:t xml:space="preserve">Going home was one of Nell’s NDIS goals. But unfortunately, there was no budget attached to it. </w:t>
      </w:r>
      <w:proofErr w:type="spellStart"/>
      <w:r w:rsidRPr="644B5232">
        <w:rPr>
          <w:lang w:val="en-US"/>
        </w:rPr>
        <w:t>InComPro</w:t>
      </w:r>
      <w:proofErr w:type="spellEnd"/>
      <w:r w:rsidRPr="644B5232">
        <w:rPr>
          <w:lang w:val="en-US"/>
        </w:rPr>
        <w:t xml:space="preserve"> just made that goal happen.</w:t>
      </w:r>
    </w:p>
    <w:p w14:paraId="446CF180" w14:textId="77777777" w:rsidR="004316F3" w:rsidRDefault="259B2D39" w:rsidP="0097062A">
      <w:pPr>
        <w:rPr>
          <w:lang w:val="en-US"/>
        </w:rPr>
      </w:pPr>
      <w:r w:rsidRPr="644B5232">
        <w:rPr>
          <w:lang w:val="en-US"/>
        </w:rPr>
        <w:t>*Not her real name</w:t>
      </w:r>
    </w:p>
    <w:p w14:paraId="58DF38CF" w14:textId="158C5A32" w:rsidR="422BF64D" w:rsidRPr="006028B1" w:rsidRDefault="422BF64D" w:rsidP="0097062A">
      <w:pPr>
        <w:pStyle w:val="Heading2"/>
      </w:pPr>
      <w:bookmarkStart w:id="90" w:name="_Toc180593633"/>
      <w:bookmarkStart w:id="91" w:name="_Toc181352006"/>
      <w:bookmarkStart w:id="92" w:name="_Toc184287170"/>
      <w:r w:rsidRPr="006028B1">
        <w:lastRenderedPageBreak/>
        <w:t>Member story: allied health services</w:t>
      </w:r>
      <w:bookmarkEnd w:id="90"/>
      <w:bookmarkEnd w:id="91"/>
      <w:bookmarkEnd w:id="92"/>
    </w:p>
    <w:p w14:paraId="3EA37894" w14:textId="0C9E1BDA" w:rsidR="422BF64D" w:rsidRDefault="422BF64D" w:rsidP="0097062A">
      <w:pPr>
        <w:pStyle w:val="Heading3"/>
        <w:rPr>
          <w:lang w:val="en-US"/>
        </w:rPr>
      </w:pPr>
      <w:r w:rsidRPr="6AD0082D">
        <w:t>NWRH, Mount Isa</w:t>
      </w:r>
    </w:p>
    <w:p w14:paraId="73C4E7DB" w14:textId="2C62B044" w:rsidR="422BF64D" w:rsidRDefault="422BF64D" w:rsidP="0097062A">
      <w:pPr>
        <w:rPr>
          <w:rFonts w:ascii="Aptos" w:eastAsia="Aptos" w:hAnsi="Aptos" w:cs="Aptos"/>
          <w:color w:val="000000" w:themeColor="text1"/>
          <w:lang w:val="en-US"/>
        </w:rPr>
      </w:pPr>
      <w:r>
        <w:t xml:space="preserve">We spoke with CEO Rahni Cotterill at North and West Remote Health Limited (NWRH) about her experiences managing a team that brings face-to-face allied health services to people living in remote and isolated areas of </w:t>
      </w:r>
      <w:r w:rsidR="00B52704">
        <w:t>w</w:t>
      </w:r>
      <w:r>
        <w:t>estern Queensland.</w:t>
      </w:r>
    </w:p>
    <w:p w14:paraId="05D94487" w14:textId="77777777" w:rsidR="004316F3" w:rsidRDefault="422BF64D" w:rsidP="0097062A">
      <w:r>
        <w:t>NWRH has provided services to regional, rural and very remote communities throughout Queensland for over 30 years, supporting people with disability under various funding streams</w:t>
      </w:r>
      <w:r w:rsidR="00B52704">
        <w:t>,</w:t>
      </w:r>
      <w:r>
        <w:t xml:space="preserve"> such as QCCS</w:t>
      </w:r>
      <w:r w:rsidR="00F9264B">
        <w:t xml:space="preserve"> (Queensland Community Support Scheme)</w:t>
      </w:r>
      <w:r>
        <w:t xml:space="preserve"> or PHN</w:t>
      </w:r>
      <w:r w:rsidR="00F9264B">
        <w:t xml:space="preserve"> (Primary Health Network)</w:t>
      </w:r>
      <w:r>
        <w:t>. In 2023</w:t>
      </w:r>
      <w:r w:rsidR="00B52704">
        <w:t>,</w:t>
      </w:r>
      <w:r>
        <w:t xml:space="preserve"> NWRH was honoured to win the inaugural National Rural and Remote Employer of the Year Award for providing culturally appropriate and targeted services to </w:t>
      </w:r>
      <w:r w:rsidR="0076126E">
        <w:t>over 50</w:t>
      </w:r>
      <w:r>
        <w:t xml:space="preserve"> remote and isolated </w:t>
      </w:r>
      <w:r w:rsidR="00AD077F">
        <w:t>First Nations</w:t>
      </w:r>
      <w:r w:rsidR="0076126E">
        <w:t xml:space="preserve"> </w:t>
      </w:r>
      <w:r>
        <w:t>communities throughout northern and western Queensland since 1993.</w:t>
      </w:r>
    </w:p>
    <w:p w14:paraId="0DE9D325" w14:textId="16ACFFAD" w:rsidR="422BF64D" w:rsidRDefault="422BF64D" w:rsidP="0097062A">
      <w:pPr>
        <w:pStyle w:val="Heading4"/>
        <w:rPr>
          <w:lang w:val="en-US"/>
        </w:rPr>
      </w:pPr>
      <w:r w:rsidRPr="6AD0082D">
        <w:t>Working under an ethos of “social responsibility”</w:t>
      </w:r>
    </w:p>
    <w:p w14:paraId="12724E4C" w14:textId="77777777" w:rsidR="004316F3" w:rsidRDefault="422BF64D" w:rsidP="0097062A">
      <w:r>
        <w:t xml:space="preserve">Rahni said that NWRH’s </w:t>
      </w:r>
      <w:r w:rsidR="0076126E">
        <w:t>principal mission</w:t>
      </w:r>
      <w:r>
        <w:t xml:space="preserve"> is to provide primary health care service</w:t>
      </w:r>
      <w:r w:rsidR="00734DD3">
        <w:t>s</w:t>
      </w:r>
      <w:r>
        <w:t xml:space="preserve"> to people</w:t>
      </w:r>
      <w:r w:rsidR="0A6B0633">
        <w:t xml:space="preserve"> with </w:t>
      </w:r>
      <w:r>
        <w:t xml:space="preserve">the most </w:t>
      </w:r>
      <w:r w:rsidR="0A6B0633">
        <w:t>complex support needs</w:t>
      </w:r>
      <w:r>
        <w:t>. The organisation prides itself on delivering continuity of care through building strong, constant relationships with participants.</w:t>
      </w:r>
    </w:p>
    <w:p w14:paraId="70DB5F84" w14:textId="7B2696C0" w:rsidR="422BF64D" w:rsidRDefault="422BF64D" w:rsidP="0097062A">
      <w:pPr>
        <w:rPr>
          <w:rFonts w:ascii="Aptos" w:eastAsia="Aptos" w:hAnsi="Aptos" w:cs="Aptos"/>
          <w:color w:val="000000" w:themeColor="text1"/>
          <w:lang w:val="en-US"/>
        </w:rPr>
      </w:pPr>
      <w:r>
        <w:t xml:space="preserve">She welcomed the introduction of the NDIS, saying it represented life-changing opportunities for NWRH service users, helping participants gain greater access to their community, meaning they no longer felt lost or forgotten within the health care system. She believes the diversified funding model supports the sustainability of businesses like NWRH in rural and remote </w:t>
      </w:r>
      <w:r w:rsidR="0076126E">
        <w:t>regions,</w:t>
      </w:r>
      <w:r>
        <w:t xml:space="preserve"> where other funding in allied health is scarce.</w:t>
      </w:r>
    </w:p>
    <w:p w14:paraId="1DF831B0" w14:textId="0CA0C75B" w:rsidR="422BF64D" w:rsidRDefault="422BF64D" w:rsidP="0097062A">
      <w:pPr>
        <w:pStyle w:val="Heading4"/>
        <w:rPr>
          <w:lang w:val="en-US"/>
        </w:rPr>
      </w:pPr>
      <w:r w:rsidRPr="6AD0082D">
        <w:t>Pricing arrangements should reflect the real costs of service delivery</w:t>
      </w:r>
    </w:p>
    <w:p w14:paraId="0301E9B2" w14:textId="1544D81B" w:rsidR="422BF64D" w:rsidRDefault="422BF64D" w:rsidP="0097062A">
      <w:pPr>
        <w:rPr>
          <w:rFonts w:ascii="Aptos" w:eastAsia="Aptos" w:hAnsi="Aptos" w:cs="Aptos"/>
          <w:color w:val="000000" w:themeColor="text1"/>
          <w:lang w:val="en-US"/>
        </w:rPr>
      </w:pPr>
      <w:r>
        <w:t xml:space="preserve">Rahni has been with the organisation for nearly 14 years, and we asked </w:t>
      </w:r>
      <w:r w:rsidR="435B5C99">
        <w:t xml:space="preserve">her </w:t>
      </w:r>
      <w:r>
        <w:t xml:space="preserve">about the challenges she currently faces. She </w:t>
      </w:r>
      <w:r w:rsidR="00DA657C">
        <w:t>was disappointed</w:t>
      </w:r>
      <w:r>
        <w:t xml:space="preserve"> about the </w:t>
      </w:r>
      <w:r w:rsidR="00DA657C">
        <w:t>ongoing</w:t>
      </w:r>
      <w:r w:rsidR="008E2AD2">
        <w:t xml:space="preserve"> price freeze</w:t>
      </w:r>
      <w:r>
        <w:t xml:space="preserve"> for allied health therapies within the 2024</w:t>
      </w:r>
      <w:r w:rsidR="00B52704">
        <w:t>–</w:t>
      </w:r>
      <w:r>
        <w:t>25</w:t>
      </w:r>
      <w:r w:rsidDel="00B52704">
        <w:t xml:space="preserve"> </w:t>
      </w:r>
      <w:r>
        <w:t xml:space="preserve">NDIS pricing arrangements. Coupled with the cost-of-living crisis and difficulty in staff recruitment and retention, their business has been negatively impacted. “Delivering services across rural, </w:t>
      </w:r>
      <w:r>
        <w:lastRenderedPageBreak/>
        <w:t>remote and very remote areas, our operating costs have risen significantly over the past few years</w:t>
      </w:r>
      <w:r w:rsidR="00B52704">
        <w:t>;</w:t>
      </w:r>
      <w:r>
        <w:t xml:space="preserve"> however</w:t>
      </w:r>
      <w:r w:rsidR="00B52704">
        <w:t>,</w:t>
      </w:r>
      <w:r>
        <w:t xml:space="preserve"> these have not been reflected in changes within the pricing arrangements. We need the pricing arrangements to reflect the economic position of rural districts.”</w:t>
      </w:r>
    </w:p>
    <w:p w14:paraId="72C75A15" w14:textId="4BD62C85" w:rsidR="422BF64D" w:rsidRDefault="422BF64D" w:rsidP="0097062A">
      <w:pPr>
        <w:pStyle w:val="Heading4"/>
        <w:rPr>
          <w:lang w:val="en-US"/>
        </w:rPr>
      </w:pPr>
      <w:r w:rsidRPr="6AD0082D">
        <w:t>An uneven playing ground</w:t>
      </w:r>
    </w:p>
    <w:p w14:paraId="5C9A923B" w14:textId="4BAE9236" w:rsidR="422BF64D" w:rsidRDefault="422BF64D" w:rsidP="0097062A">
      <w:pPr>
        <w:rPr>
          <w:rFonts w:ascii="Aptos" w:eastAsia="Aptos" w:hAnsi="Aptos" w:cs="Aptos"/>
          <w:color w:val="000000" w:themeColor="text1"/>
          <w:lang w:val="en-US"/>
        </w:rPr>
      </w:pPr>
      <w:r>
        <w:t>An additional challenge is the administration burden that comes with being a registered provider. While she supports the benefits and safeguards of a quality system to service users, she is frustrated that time addressing compliance mechanisms can erode precious practitioner hours spent with participants.</w:t>
      </w:r>
    </w:p>
    <w:p w14:paraId="4CCBC070" w14:textId="08B648A7" w:rsidR="422BF64D" w:rsidRDefault="422BF64D" w:rsidP="0097062A">
      <w:pPr>
        <w:rPr>
          <w:rFonts w:ascii="Aptos" w:eastAsia="Aptos" w:hAnsi="Aptos" w:cs="Aptos"/>
          <w:color w:val="000000" w:themeColor="text1"/>
          <w:lang w:val="en-US"/>
        </w:rPr>
      </w:pPr>
      <w:r>
        <w:t>She also alluded to the uneven playing field</w:t>
      </w:r>
      <w:r w:rsidR="00B52704">
        <w:t>,</w:t>
      </w:r>
      <w:r>
        <w:t xml:space="preserve"> where unregistered providers can deliver parallel services without the same administrative burden. “Compliance takes time and costs money</w:t>
      </w:r>
      <w:r w:rsidR="00B52704">
        <w:t xml:space="preserve"> </w:t>
      </w:r>
      <w:r w:rsidR="009513F6">
        <w:t xml:space="preserve">— </w:t>
      </w:r>
      <w:r>
        <w:t xml:space="preserve">money that unregistered providers can use to pay their staff more.” To remedy this imbalance, Rahni would like to see </w:t>
      </w:r>
      <w:r w:rsidR="0076126E">
        <w:t>the government</w:t>
      </w:r>
      <w:r>
        <w:t xml:space="preserve"> monitor the number of unregistered providers, review rural and remote pricing, and reduce the regulatory administrative requirements.</w:t>
      </w:r>
    </w:p>
    <w:p w14:paraId="05CFE7E7" w14:textId="39782C1A" w:rsidR="422BF64D" w:rsidRDefault="422BF64D" w:rsidP="0097062A">
      <w:pPr>
        <w:pStyle w:val="Heading4"/>
        <w:rPr>
          <w:lang w:val="en-US"/>
        </w:rPr>
      </w:pPr>
      <w:r w:rsidRPr="6AD0082D">
        <w:t>Attracting and retaining practitioners</w:t>
      </w:r>
    </w:p>
    <w:p w14:paraId="0B0D599B" w14:textId="2F0A2851" w:rsidR="422BF64D" w:rsidRDefault="422BF64D" w:rsidP="0097062A">
      <w:pPr>
        <w:rPr>
          <w:rFonts w:ascii="Aptos" w:eastAsia="Aptos" w:hAnsi="Aptos" w:cs="Aptos"/>
          <w:color w:val="000000" w:themeColor="text1"/>
          <w:lang w:val="en-US"/>
        </w:rPr>
      </w:pPr>
      <w:r>
        <w:t>A slump in the numbers of allied health graduates following the COVID-19 restrictions, combined with the numbers of private practices offering better-paid opportunities, has led to a scarcity of practitioners, particularly occupational and speech therapists.</w:t>
      </w:r>
    </w:p>
    <w:p w14:paraId="16BB003D" w14:textId="77777777" w:rsidR="004316F3" w:rsidRDefault="422BF64D" w:rsidP="0097062A">
      <w:r>
        <w:t>To attract new allied health graduates, NWRH offers a supportive working culture where flexibility, innovation, professional development and staff wellbeing are core values.</w:t>
      </w:r>
    </w:p>
    <w:p w14:paraId="74943D45" w14:textId="4632678A" w:rsidR="422BF64D" w:rsidRDefault="422BF64D" w:rsidP="0097062A">
      <w:pPr>
        <w:rPr>
          <w:rFonts w:ascii="Aptos" w:eastAsia="Aptos" w:hAnsi="Aptos" w:cs="Aptos"/>
          <w:color w:val="000000" w:themeColor="text1"/>
          <w:lang w:val="en-US"/>
        </w:rPr>
      </w:pPr>
      <w:r>
        <w:t xml:space="preserve">Working with NWRH presents an exciting opportunity to travel and explore our vast country and experience outback life. In fact, the NWRH vehicle fleet travelled over 520,000 kms and staff took </w:t>
      </w:r>
      <w:r w:rsidR="0076126E">
        <w:t>over 800</w:t>
      </w:r>
      <w:r>
        <w:t xml:space="preserve"> flights and 20 ferry trips to provide services in the 2023–24 financial year.</w:t>
      </w:r>
    </w:p>
    <w:p w14:paraId="6E2F8706" w14:textId="548BB00F" w:rsidR="422BF64D" w:rsidRDefault="422BF64D" w:rsidP="0097062A">
      <w:pPr>
        <w:rPr>
          <w:rFonts w:eastAsia="Aptos"/>
        </w:rPr>
      </w:pPr>
      <w:r>
        <w:t xml:space="preserve">We spoke with senior occupational therapist Edward Trimble about his three years working in </w:t>
      </w:r>
      <w:r w:rsidR="00AD077F">
        <w:t>northwest</w:t>
      </w:r>
      <w:r>
        <w:t xml:space="preserve"> Queensland. Edward gave a persuasive account of the benefits and opportunities for allied health practitioners working and living in a rural area. </w:t>
      </w:r>
      <w:r>
        <w:lastRenderedPageBreak/>
        <w:t xml:space="preserve">Going into the community, therapists fill a wide range of </w:t>
      </w:r>
      <w:r w:rsidR="0076126E">
        <w:t>roles,</w:t>
      </w:r>
      <w:r>
        <w:t xml:space="preserve"> such as prescribing home mod</w:t>
      </w:r>
      <w:r w:rsidR="00D67A13">
        <w:t>ifications</w:t>
      </w:r>
      <w:r>
        <w:t xml:space="preserve">, health promotion, and </w:t>
      </w:r>
      <w:r w:rsidR="2941498E">
        <w:t>support navigating various systems.</w:t>
      </w:r>
    </w:p>
    <w:p w14:paraId="17755E07" w14:textId="77777777" w:rsidR="004316F3" w:rsidRDefault="422BF64D" w:rsidP="0097062A">
      <w:r>
        <w:t xml:space="preserve">Starting as a rural generalist, Edward now focuses on paediatrics. Participating in the Allied Health Rural Generalist Pathway at James Cook University, Edward is studying while working on what he calls his </w:t>
      </w:r>
      <w:r w:rsidR="009513F6">
        <w:t>“</w:t>
      </w:r>
      <w:r>
        <w:t>passion project</w:t>
      </w:r>
      <w:r w:rsidR="009513F6">
        <w:t>”</w:t>
      </w:r>
      <w:r>
        <w:t>, mapping the process for formally diagnosing ASD</w:t>
      </w:r>
      <w:r w:rsidR="00713CE1">
        <w:t xml:space="preserve"> (</w:t>
      </w:r>
      <w:proofErr w:type="gramStart"/>
      <w:r w:rsidR="00713CE1">
        <w:t>Autism Spectrum Disorder</w:t>
      </w:r>
      <w:proofErr w:type="gramEnd"/>
      <w:r w:rsidR="00713CE1">
        <w:t>)</w:t>
      </w:r>
      <w:r>
        <w:t xml:space="preserve"> and FASD </w:t>
      </w:r>
      <w:r w:rsidR="00713CE1">
        <w:t>(</w:t>
      </w:r>
      <w:r w:rsidR="00E54510">
        <w:t>Foetal</w:t>
      </w:r>
      <w:r w:rsidR="00713CE1">
        <w:t xml:space="preserve"> Alcohol Spectrum Diso</w:t>
      </w:r>
      <w:r w:rsidR="00E54510">
        <w:t>r</w:t>
      </w:r>
      <w:r w:rsidR="00713CE1">
        <w:t xml:space="preserve">der) </w:t>
      </w:r>
      <w:r>
        <w:t>in children. This will offer support for families to understand the process</w:t>
      </w:r>
      <w:r w:rsidR="009513F6">
        <w:t>,</w:t>
      </w:r>
      <w:r>
        <w:t xml:space="preserve"> as well as helping clinicians.</w:t>
      </w:r>
    </w:p>
    <w:p w14:paraId="3ACAC7C2" w14:textId="1F04D53E" w:rsidR="422BF64D" w:rsidRDefault="422BF64D" w:rsidP="0097062A">
      <w:pPr>
        <w:pStyle w:val="Heading4"/>
        <w:rPr>
          <w:lang w:val="en-US"/>
        </w:rPr>
      </w:pPr>
      <w:r w:rsidRPr="6AD0082D">
        <w:t>Spirit of collaboration</w:t>
      </w:r>
    </w:p>
    <w:p w14:paraId="2F8BC34C" w14:textId="77777777" w:rsidR="004316F3" w:rsidRDefault="422BF64D" w:rsidP="0097062A">
      <w:r>
        <w:t xml:space="preserve">We asked Rahni how rural providers handle high demands for service. She described a collaborative approach to referral pathways and student placements with key local stakeholders; </w:t>
      </w:r>
      <w:proofErr w:type="gramStart"/>
      <w:r>
        <w:t>North West</w:t>
      </w:r>
      <w:proofErr w:type="gramEnd"/>
      <w:r>
        <w:t xml:space="preserve"> Hospital and Health Service, JCU </w:t>
      </w:r>
      <w:proofErr w:type="spellStart"/>
      <w:r>
        <w:t>Murtupuni</w:t>
      </w:r>
      <w:proofErr w:type="spellEnd"/>
      <w:r w:rsidR="20E77D08">
        <w:t xml:space="preserve"> </w:t>
      </w:r>
      <w:r>
        <w:t xml:space="preserve">Centre for Rural and Remote Health, Health Workforce Queensland, Education Queensland, private providers and </w:t>
      </w:r>
      <w:proofErr w:type="spellStart"/>
      <w:r>
        <w:t>BushKIDS</w:t>
      </w:r>
      <w:proofErr w:type="spellEnd"/>
      <w:r>
        <w:t>.</w:t>
      </w:r>
    </w:p>
    <w:p w14:paraId="44CC8E14" w14:textId="0CA4F65B" w:rsidR="422BF64D" w:rsidRDefault="422BF64D" w:rsidP="0097062A">
      <w:pPr>
        <w:rPr>
          <w:rFonts w:ascii="Aptos" w:eastAsia="Aptos" w:hAnsi="Aptos" w:cs="Aptos"/>
          <w:color w:val="000000" w:themeColor="text1"/>
          <w:lang w:val="en-US"/>
        </w:rPr>
      </w:pPr>
      <w:r>
        <w:t xml:space="preserve">These partnerships allow dispersed service coverage between the </w:t>
      </w:r>
      <w:r w:rsidR="0076126E">
        <w:t>sectors,</w:t>
      </w:r>
      <w:r>
        <w:t xml:space="preserve"> creating greater access to Allied Health services within the region. The collaboration has also led to the ten-week Rural Immersion Placement Program Allied Health </w:t>
      </w:r>
      <w:r w:rsidR="009513F6">
        <w:t>(</w:t>
      </w:r>
      <w:r>
        <w:t>RIPPAH</w:t>
      </w:r>
      <w:r w:rsidR="009513F6">
        <w:t>)</w:t>
      </w:r>
      <w:r>
        <w:t xml:space="preserve"> placements, which helps to address the professional supervision needs of </w:t>
      </w:r>
      <w:r w:rsidR="0076126E">
        <w:t>recent graduates</w:t>
      </w:r>
      <w:r>
        <w:t xml:space="preserve"> whil</w:t>
      </w:r>
      <w:r w:rsidR="009513F6">
        <w:t>e</w:t>
      </w:r>
      <w:r>
        <w:t xml:space="preserve"> connecting them with meaningful community </w:t>
      </w:r>
      <w:r w:rsidR="0076126E">
        <w:t>experiences.</w:t>
      </w:r>
    </w:p>
    <w:p w14:paraId="143E0136" w14:textId="3CEBE058" w:rsidR="422BF64D" w:rsidRDefault="422BF64D" w:rsidP="0097062A">
      <w:pPr>
        <w:pStyle w:val="Heading4"/>
        <w:rPr>
          <w:lang w:val="en-US"/>
        </w:rPr>
      </w:pPr>
      <w:r w:rsidRPr="6AD0082D">
        <w:t>People living vastly</w:t>
      </w:r>
    </w:p>
    <w:p w14:paraId="08C7AFC7" w14:textId="769CA76B" w:rsidR="422BF64D" w:rsidRDefault="422BF64D" w:rsidP="0097062A">
      <w:pPr>
        <w:rPr>
          <w:rFonts w:ascii="Aptos" w:eastAsia="Aptos" w:hAnsi="Aptos" w:cs="Aptos"/>
          <w:color w:val="000000" w:themeColor="text1"/>
          <w:lang w:val="en-US"/>
        </w:rPr>
      </w:pPr>
      <w:r>
        <w:t>Rahni values the training</w:t>
      </w:r>
      <w:r w:rsidR="004C2BD8">
        <w:t>,</w:t>
      </w:r>
      <w:r>
        <w:t xml:space="preserve"> information</w:t>
      </w:r>
      <w:r w:rsidR="004C2BD8">
        <w:t>,</w:t>
      </w:r>
      <w:r>
        <w:t xml:space="preserve"> and support and advocacy she has through her membership with NDS, speaking warmly of her relationship with State Manager Jason McKey. “He listens to us, and when we're having problems, I can tell that he has gone and advocated for us at quite a high level.”</w:t>
      </w:r>
    </w:p>
    <w:p w14:paraId="5CB57D86" w14:textId="77777777" w:rsidR="004316F3" w:rsidRDefault="422BF64D" w:rsidP="0097062A">
      <w:pPr>
        <w:rPr>
          <w:rFonts w:ascii="Aptos" w:eastAsia="Aptos" w:hAnsi="Aptos" w:cs="Aptos"/>
          <w:color w:val="000000" w:themeColor="text1"/>
          <w:lang w:val="en-US"/>
        </w:rPr>
      </w:pPr>
      <w:r>
        <w:t>Rahni is daily buoyed by the ways her team helps NDIS participants access their community through meaningful occupation outside the family home, so people with disability are “not just surviving in society but thriving and living vastly.”</w:t>
      </w:r>
    </w:p>
    <w:p w14:paraId="0A34EDE8" w14:textId="3D8CC6DA" w:rsidR="004316F3" w:rsidRDefault="05B79D20" w:rsidP="0097062A">
      <w:pPr>
        <w:pStyle w:val="Heading2"/>
      </w:pPr>
      <w:bookmarkStart w:id="93" w:name="_Toc180593634"/>
      <w:bookmarkStart w:id="94" w:name="_Toc181352007"/>
      <w:bookmarkStart w:id="95" w:name="_Toc184287171"/>
      <w:r w:rsidRPr="00E237C5">
        <w:lastRenderedPageBreak/>
        <w:t>The state of the workforce</w:t>
      </w:r>
      <w:bookmarkEnd w:id="93"/>
      <w:bookmarkEnd w:id="94"/>
      <w:bookmarkEnd w:id="95"/>
    </w:p>
    <w:p w14:paraId="437C35DD" w14:textId="1FD003F7" w:rsidR="6AD0082D" w:rsidRDefault="38E8012B" w:rsidP="0097062A">
      <w:pPr>
        <w:rPr>
          <w:lang w:val="en-US"/>
        </w:rPr>
      </w:pPr>
      <w:r w:rsidRPr="644B5232">
        <w:rPr>
          <w:lang w:val="en-US"/>
        </w:rPr>
        <w:t xml:space="preserve">The NDIS </w:t>
      </w:r>
      <w:r w:rsidRPr="00591BDA">
        <w:t xml:space="preserve">workforce remains in a precarious state. Recent years have seen the worsening conditions </w:t>
      </w:r>
      <w:r w:rsidR="002C39C7" w:rsidRPr="00591BDA">
        <w:t>stabili</w:t>
      </w:r>
      <w:r w:rsidR="00C6093F" w:rsidRPr="00591BDA">
        <w:t>s</w:t>
      </w:r>
      <w:r w:rsidR="002C39C7" w:rsidRPr="00591BDA">
        <w:t>e. H</w:t>
      </w:r>
      <w:r w:rsidRPr="00591BDA">
        <w:t>owever</w:t>
      </w:r>
      <w:r w:rsidR="002C39C7" w:rsidRPr="00591BDA">
        <w:t>,</w:t>
      </w:r>
      <w:r w:rsidRPr="00591BDA">
        <w:t xml:space="preserve"> there is</w:t>
      </w:r>
      <w:r w:rsidRPr="644B5232">
        <w:rPr>
          <w:lang w:val="en-US"/>
        </w:rPr>
        <w:t xml:space="preserve"> evidence that the problems are becoming entrenched, </w:t>
      </w:r>
      <w:r w:rsidR="117E03EC" w:rsidRPr="644B5232">
        <w:rPr>
          <w:lang w:val="en-US"/>
        </w:rPr>
        <w:t xml:space="preserve">illustrated by </w:t>
      </w:r>
      <w:r w:rsidR="002E6A61">
        <w:rPr>
          <w:lang w:val="en-US"/>
        </w:rPr>
        <w:t xml:space="preserve">the difficulties </w:t>
      </w:r>
      <w:r w:rsidR="00A40E5F">
        <w:rPr>
          <w:lang w:val="en-US"/>
        </w:rPr>
        <w:t xml:space="preserve">respondents </w:t>
      </w:r>
      <w:r w:rsidR="002E6A61">
        <w:rPr>
          <w:lang w:val="en-US"/>
        </w:rPr>
        <w:t xml:space="preserve">have </w:t>
      </w:r>
      <w:r w:rsidR="00C6093F">
        <w:rPr>
          <w:lang w:val="en-US"/>
        </w:rPr>
        <w:t>in</w:t>
      </w:r>
      <w:r w:rsidR="003F5F69">
        <w:rPr>
          <w:lang w:val="en-US"/>
        </w:rPr>
        <w:t xml:space="preserve"> </w:t>
      </w:r>
      <w:r w:rsidR="007846AA">
        <w:rPr>
          <w:lang w:val="en-US"/>
        </w:rPr>
        <w:t>recruit</w:t>
      </w:r>
      <w:r w:rsidR="00C6093F">
        <w:rPr>
          <w:lang w:val="en-US"/>
        </w:rPr>
        <w:t>ing</w:t>
      </w:r>
      <w:r w:rsidR="003F5F69">
        <w:rPr>
          <w:lang w:val="en-US"/>
        </w:rPr>
        <w:t xml:space="preserve"> and retain</w:t>
      </w:r>
      <w:r w:rsidR="00C6093F">
        <w:rPr>
          <w:lang w:val="en-US"/>
        </w:rPr>
        <w:t>ing</w:t>
      </w:r>
      <w:r w:rsidR="003F5F69">
        <w:rPr>
          <w:lang w:val="en-US"/>
        </w:rPr>
        <w:t xml:space="preserve"> staff</w:t>
      </w:r>
      <w:r w:rsidR="007846AA">
        <w:rPr>
          <w:lang w:val="en-US"/>
        </w:rPr>
        <w:t xml:space="preserve"> and participants have </w:t>
      </w:r>
      <w:r w:rsidR="006967AC">
        <w:rPr>
          <w:lang w:val="en-US"/>
        </w:rPr>
        <w:t xml:space="preserve">in getting </w:t>
      </w:r>
      <w:r w:rsidRPr="644B5232">
        <w:rPr>
          <w:lang w:val="en-US"/>
        </w:rPr>
        <w:t>quality and safe services nearby</w:t>
      </w:r>
      <w:r w:rsidR="00C6093F">
        <w:rPr>
          <w:lang w:val="en-US"/>
        </w:rPr>
        <w:t>.</w:t>
      </w:r>
    </w:p>
    <w:p w14:paraId="7037EC64" w14:textId="1522C7CB" w:rsidR="00F53DA4" w:rsidRDefault="00F53DA4" w:rsidP="0097062A">
      <w:pPr>
        <w:pStyle w:val="Heading3"/>
      </w:pPr>
      <w:r>
        <w:t>Survey results</w:t>
      </w:r>
    </w:p>
    <w:p w14:paraId="16871A7A" w14:textId="71FF74FC" w:rsidR="05B79D20" w:rsidRPr="0057377C" w:rsidRDefault="05B79D20" w:rsidP="0097062A">
      <w:pPr>
        <w:pStyle w:val="Heading4"/>
      </w:pPr>
      <w:r w:rsidRPr="0057377C">
        <w:t>Recruitment</w:t>
      </w:r>
    </w:p>
    <w:p w14:paraId="6E6B8D3C" w14:textId="77777777" w:rsidR="004316F3" w:rsidRDefault="38E8012B" w:rsidP="0097062A">
      <w:pPr>
        <w:rPr>
          <w:lang w:val="en-US"/>
        </w:rPr>
      </w:pPr>
      <w:r w:rsidRPr="50E3E469">
        <w:rPr>
          <w:lang w:val="en-US"/>
        </w:rPr>
        <w:t xml:space="preserve">Recruitment continues to be difficult for </w:t>
      </w:r>
      <w:proofErr w:type="spellStart"/>
      <w:r w:rsidRPr="50E3E469">
        <w:rPr>
          <w:lang w:val="en-US"/>
        </w:rPr>
        <w:t>organisations</w:t>
      </w:r>
      <w:proofErr w:type="spellEnd"/>
      <w:r w:rsidR="00C6093F">
        <w:rPr>
          <w:lang w:val="en-US"/>
        </w:rPr>
        <w:t xml:space="preserve">, even </w:t>
      </w:r>
      <w:r w:rsidRPr="50E3E469">
        <w:rPr>
          <w:lang w:val="en-US"/>
        </w:rPr>
        <w:t xml:space="preserve">though difficulties continue to ease. The most difficult roles to recruit </w:t>
      </w:r>
      <w:r w:rsidR="005E58D1">
        <w:rPr>
          <w:lang w:val="en-US"/>
        </w:rPr>
        <w:t xml:space="preserve">are </w:t>
      </w:r>
      <w:r w:rsidRPr="50E3E469">
        <w:rPr>
          <w:lang w:val="en-US"/>
        </w:rPr>
        <w:t xml:space="preserve">occupational therapists, speech therapists, </w:t>
      </w:r>
      <w:proofErr w:type="spellStart"/>
      <w:r w:rsidRPr="50E3E469">
        <w:rPr>
          <w:lang w:val="en-US"/>
        </w:rPr>
        <w:t>behaviour</w:t>
      </w:r>
      <w:proofErr w:type="spellEnd"/>
      <w:r w:rsidRPr="50E3E469">
        <w:rPr>
          <w:lang w:val="en-US"/>
        </w:rPr>
        <w:t xml:space="preserve"> support practitioners, psychologists and physiotherapists. The easiest </w:t>
      </w:r>
      <w:r w:rsidR="004F266D">
        <w:rPr>
          <w:lang w:val="en-US"/>
        </w:rPr>
        <w:t xml:space="preserve">roles </w:t>
      </w:r>
      <w:r w:rsidRPr="50E3E469">
        <w:rPr>
          <w:lang w:val="en-US"/>
        </w:rPr>
        <w:t>to recruit are plan managers, finance and accounting roles, information technology roles, marketing and business development and dieticians.</w:t>
      </w:r>
    </w:p>
    <w:p w14:paraId="46617569" w14:textId="5E914DC0" w:rsidR="004316F3" w:rsidRDefault="000D5A7F" w:rsidP="0097062A">
      <w:r w:rsidRPr="000D5A7F">
        <w:fldChar w:fldCharType="begin"/>
      </w:r>
      <w:r w:rsidRPr="000D5A7F">
        <w:instrText xml:space="preserve"> REF _Ref183700514 \h  \* MERGEFORMAT </w:instrText>
      </w:r>
      <w:r w:rsidRPr="000D5A7F">
        <w:fldChar w:fldCharType="separate"/>
      </w:r>
      <w:r w:rsidRPr="000D5A7F">
        <w:t>Table </w:t>
      </w:r>
      <w:r w:rsidRPr="000D5A7F">
        <w:rPr>
          <w:noProof/>
        </w:rPr>
        <w:t>25</w:t>
      </w:r>
      <w:r w:rsidRPr="000D5A7F">
        <w:fldChar w:fldCharType="end"/>
      </w:r>
      <w:r w:rsidR="00622558" w:rsidRPr="000D5A7F">
        <w:t xml:space="preserve">, </w:t>
      </w:r>
      <w:r w:rsidRPr="000D5A7F">
        <w:fldChar w:fldCharType="begin"/>
      </w:r>
      <w:r w:rsidRPr="000D5A7F">
        <w:instrText xml:space="preserve"> REF _Ref183700551 \h  \* MERGEFORMAT </w:instrText>
      </w:r>
      <w:r w:rsidRPr="000D5A7F">
        <w:fldChar w:fldCharType="separate"/>
      </w:r>
      <w:r w:rsidRPr="000D5A7F">
        <w:t>Table </w:t>
      </w:r>
      <w:r w:rsidRPr="000D5A7F">
        <w:rPr>
          <w:noProof/>
        </w:rPr>
        <w:t>26</w:t>
      </w:r>
      <w:r w:rsidRPr="000D5A7F">
        <w:fldChar w:fldCharType="end"/>
      </w:r>
      <w:r w:rsidR="00622558" w:rsidRPr="000D5A7F">
        <w:t xml:space="preserve">, </w:t>
      </w:r>
      <w:r w:rsidRPr="000D5A7F">
        <w:fldChar w:fldCharType="begin"/>
      </w:r>
      <w:r w:rsidRPr="000D5A7F">
        <w:instrText xml:space="preserve"> REF _Ref184222218 \h  \* MERGEFORMAT </w:instrText>
      </w:r>
      <w:r w:rsidRPr="000D5A7F">
        <w:fldChar w:fldCharType="separate"/>
      </w:r>
      <w:r w:rsidRPr="000D5A7F">
        <w:t xml:space="preserve">Table </w:t>
      </w:r>
      <w:r w:rsidRPr="000D5A7F">
        <w:rPr>
          <w:noProof/>
        </w:rPr>
        <w:t>27</w:t>
      </w:r>
      <w:r w:rsidRPr="000D5A7F">
        <w:fldChar w:fldCharType="end"/>
      </w:r>
      <w:r w:rsidRPr="000D5A7F">
        <w:t xml:space="preserve"> </w:t>
      </w:r>
      <w:r w:rsidR="00622558" w:rsidRPr="000D5A7F">
        <w:t xml:space="preserve">and </w:t>
      </w:r>
      <w:r w:rsidRPr="000D5A7F">
        <w:fldChar w:fldCharType="begin"/>
      </w:r>
      <w:r w:rsidRPr="000D5A7F">
        <w:instrText xml:space="preserve"> REF _Ref184222236 \h  \* MERGEFORMAT </w:instrText>
      </w:r>
      <w:r w:rsidRPr="000D5A7F">
        <w:fldChar w:fldCharType="separate"/>
      </w:r>
      <w:r w:rsidRPr="000D5A7F">
        <w:t>Table </w:t>
      </w:r>
      <w:r w:rsidRPr="000D5A7F">
        <w:rPr>
          <w:noProof/>
        </w:rPr>
        <w:t>28</w:t>
      </w:r>
      <w:r w:rsidRPr="000D5A7F">
        <w:fldChar w:fldCharType="end"/>
      </w:r>
      <w:r w:rsidR="009D342F">
        <w:t xml:space="preserve"> </w:t>
      </w:r>
      <w:r w:rsidR="6DE36F4C">
        <w:t xml:space="preserve">show the difficulties in recruitment over </w:t>
      </w:r>
      <w:r w:rsidR="004F266D">
        <w:t>five</w:t>
      </w:r>
      <w:r w:rsidR="6DE36F4C">
        <w:t xml:space="preserve"> years in the sector for key occupation groups, highlighting the slight eas</w:t>
      </w:r>
      <w:r w:rsidR="004F266D">
        <w:t>ing</w:t>
      </w:r>
      <w:r w:rsidR="6DE36F4C">
        <w:t xml:space="preserve"> </w:t>
      </w:r>
      <w:r w:rsidR="007A0F9E">
        <w:t>of</w:t>
      </w:r>
      <w:r w:rsidR="6DE36F4C">
        <w:t xml:space="preserve"> recruitment difficulties since 2020.</w:t>
      </w:r>
    </w:p>
    <w:p w14:paraId="04C3831F" w14:textId="30336C57" w:rsidR="001B1052" w:rsidRPr="00F4514D" w:rsidRDefault="009D342F" w:rsidP="005366DB">
      <w:pPr>
        <w:pStyle w:val="Caption"/>
      </w:pPr>
      <w:bookmarkStart w:id="96" w:name="_Ref183700514"/>
      <w:r w:rsidRPr="001A77F7">
        <w:rPr>
          <w:b/>
          <w:bCs/>
        </w:rPr>
        <w:t>Table </w:t>
      </w:r>
      <w:r w:rsidR="0007250B" w:rsidRPr="001A77F7">
        <w:rPr>
          <w:b/>
          <w:bCs/>
        </w:rPr>
        <w:fldChar w:fldCharType="begin"/>
      </w:r>
      <w:r w:rsidR="0007250B" w:rsidRPr="001A77F7">
        <w:rPr>
          <w:b/>
          <w:bCs/>
        </w:rPr>
        <w:instrText xml:space="preserve"> SEQ Table \* ARABIC </w:instrText>
      </w:r>
      <w:r w:rsidR="0007250B" w:rsidRPr="001A77F7">
        <w:rPr>
          <w:b/>
          <w:bCs/>
        </w:rPr>
        <w:fldChar w:fldCharType="separate"/>
      </w:r>
      <w:r w:rsidR="00DC68AF">
        <w:rPr>
          <w:b/>
          <w:bCs/>
          <w:noProof/>
        </w:rPr>
        <w:t>25</w:t>
      </w:r>
      <w:r w:rsidR="0007250B" w:rsidRPr="001A77F7">
        <w:rPr>
          <w:b/>
          <w:bCs/>
          <w:noProof/>
        </w:rPr>
        <w:fldChar w:fldCharType="end"/>
      </w:r>
      <w:bookmarkEnd w:id="96"/>
      <w:r w:rsidR="001B1052" w:rsidRPr="00BA7EB1">
        <w:t xml:space="preserve"> </w:t>
      </w:r>
      <w:r w:rsidR="001B1052" w:rsidRPr="00B76B79">
        <w:t>Difficulties in recruitment over ti</w:t>
      </w:r>
      <w:r w:rsidR="001B1052" w:rsidRPr="00F4514D">
        <w:t>me</w:t>
      </w:r>
      <w:r w:rsidR="00F4514D" w:rsidRPr="00F4514D">
        <w:t xml:space="preserve"> </w:t>
      </w:r>
      <w:r w:rsidR="00F4514D" w:rsidRPr="00F4514D">
        <w:rPr>
          <w:rFonts w:cs="Arial"/>
          <w:szCs w:val="24"/>
        </w:rPr>
        <w:t>– allied health professions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5 Difficulties in recruitment over time – allied health professions"/>
        <w:tblDescription w:val="A table showing the difficulties in the recruitment of allied health professionals in the sector over time. Trend data from 2020 to 2024."/>
      </w:tblPr>
      <w:tblGrid>
        <w:gridCol w:w="1867"/>
        <w:gridCol w:w="1244"/>
        <w:gridCol w:w="1559"/>
        <w:gridCol w:w="1439"/>
        <w:gridCol w:w="1442"/>
        <w:gridCol w:w="1459"/>
      </w:tblGrid>
      <w:tr w:rsidR="00CB5419" w:rsidRPr="00521D0D" w14:paraId="520925FA" w14:textId="77777777" w:rsidTr="00521D0D">
        <w:trPr>
          <w:trHeight w:val="300"/>
          <w:tblHeader/>
        </w:trPr>
        <w:tc>
          <w:tcPr>
            <w:tcW w:w="1867"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1CD8EDF" w14:textId="77777777" w:rsidR="00321644" w:rsidRPr="00521D0D" w:rsidRDefault="00321644" w:rsidP="00521D0D">
            <w:pPr>
              <w:rPr>
                <w:b/>
                <w:bCs/>
                <w:lang w:eastAsia="en-AU"/>
              </w:rPr>
            </w:pPr>
            <w:bookmarkStart w:id="97" w:name="Title_Table_25"/>
            <w:bookmarkEnd w:id="97"/>
            <w:r w:rsidRPr="00521D0D">
              <w:rPr>
                <w:b/>
                <w:bCs/>
                <w:lang w:eastAsia="en-AU"/>
              </w:rPr>
              <w:t>Occupational group</w:t>
            </w:r>
          </w:p>
        </w:tc>
        <w:tc>
          <w:tcPr>
            <w:tcW w:w="1244"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5EEC053" w14:textId="77777777" w:rsidR="00321644" w:rsidRPr="00521D0D" w:rsidRDefault="00321644" w:rsidP="00521D0D">
            <w:pPr>
              <w:rPr>
                <w:b/>
                <w:bCs/>
                <w:lang w:eastAsia="en-AU"/>
              </w:rPr>
            </w:pPr>
            <w:r w:rsidRPr="00521D0D">
              <w:rPr>
                <w:b/>
                <w:bCs/>
                <w:lang w:eastAsia="en-AU"/>
              </w:rPr>
              <w:t>2020</w:t>
            </w:r>
          </w:p>
        </w:tc>
        <w:tc>
          <w:tcPr>
            <w:tcW w:w="1559"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3551CA6" w14:textId="77777777" w:rsidR="00321644" w:rsidRPr="00521D0D" w:rsidRDefault="00321644" w:rsidP="00521D0D">
            <w:pPr>
              <w:rPr>
                <w:b/>
                <w:bCs/>
                <w:lang w:eastAsia="en-AU"/>
              </w:rPr>
            </w:pPr>
            <w:r w:rsidRPr="00521D0D">
              <w:rPr>
                <w:b/>
                <w:bCs/>
                <w:lang w:eastAsia="en-AU"/>
              </w:rPr>
              <w:t>2021</w:t>
            </w:r>
          </w:p>
        </w:tc>
        <w:tc>
          <w:tcPr>
            <w:tcW w:w="1439"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338FDC0" w14:textId="77777777" w:rsidR="00321644" w:rsidRPr="00521D0D" w:rsidRDefault="00321644" w:rsidP="00521D0D">
            <w:pPr>
              <w:rPr>
                <w:b/>
                <w:bCs/>
                <w:lang w:eastAsia="en-AU"/>
              </w:rPr>
            </w:pPr>
            <w:r w:rsidRPr="00521D0D">
              <w:rPr>
                <w:b/>
                <w:bCs/>
                <w:lang w:eastAsia="en-AU"/>
              </w:rPr>
              <w:t>2022</w:t>
            </w:r>
          </w:p>
        </w:tc>
        <w:tc>
          <w:tcPr>
            <w:tcW w:w="1442"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C6B6286" w14:textId="77777777" w:rsidR="00321644" w:rsidRPr="00521D0D" w:rsidRDefault="00321644" w:rsidP="00521D0D">
            <w:pPr>
              <w:rPr>
                <w:b/>
                <w:bCs/>
                <w:lang w:eastAsia="en-AU"/>
              </w:rPr>
            </w:pPr>
            <w:r w:rsidRPr="00521D0D">
              <w:rPr>
                <w:b/>
                <w:bCs/>
                <w:lang w:eastAsia="en-AU"/>
              </w:rPr>
              <w:t>2023</w:t>
            </w:r>
          </w:p>
        </w:tc>
        <w:tc>
          <w:tcPr>
            <w:tcW w:w="1459"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1EAF9C3A" w14:textId="77777777" w:rsidR="00321644" w:rsidRPr="00521D0D" w:rsidRDefault="00321644" w:rsidP="00521D0D">
            <w:pPr>
              <w:rPr>
                <w:b/>
                <w:bCs/>
                <w:lang w:eastAsia="en-AU"/>
              </w:rPr>
            </w:pPr>
            <w:r w:rsidRPr="00521D0D">
              <w:rPr>
                <w:b/>
                <w:bCs/>
                <w:lang w:eastAsia="en-AU"/>
              </w:rPr>
              <w:t>2024</w:t>
            </w:r>
          </w:p>
        </w:tc>
      </w:tr>
      <w:tr w:rsidR="00521D0D" w:rsidRPr="00CE5F61" w14:paraId="6E4CECE5"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402B78B" w14:textId="56BA28D3" w:rsidR="00321644" w:rsidRPr="00CE5F61" w:rsidRDefault="00321644" w:rsidP="00E545BB">
            <w:pPr>
              <w:rPr>
                <w:lang w:eastAsia="en-AU"/>
              </w:rPr>
            </w:pPr>
            <w:r w:rsidRPr="00D231BA">
              <w:rPr>
                <w:rFonts w:eastAsia="Times New Roman"/>
                <w:color w:val="000000"/>
                <w:kern w:val="0"/>
                <w:lang w:eastAsia="en-AU"/>
                <w14:ligatures w14:val="none"/>
              </w:rPr>
              <w:t>Allied health assistant</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7483387" w14:textId="77777777" w:rsidR="00321644" w:rsidRPr="00CE5F61" w:rsidRDefault="00321644" w:rsidP="00E545BB">
            <w:pPr>
              <w:rPr>
                <w:lang w:eastAsia="en-AU"/>
              </w:rPr>
            </w:pPr>
            <w:r w:rsidRPr="00CE5F61">
              <w:rPr>
                <w:lang w:eastAsia="en-AU"/>
              </w:rPr>
              <w:t>Not reported</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7ED8853" w14:textId="77777777" w:rsidR="00321644" w:rsidRPr="00CE5F61" w:rsidRDefault="00321644" w:rsidP="00E545BB">
            <w:pPr>
              <w:rPr>
                <w:lang w:eastAsia="en-AU"/>
              </w:rPr>
            </w:pPr>
            <w:r w:rsidRPr="00CE5F61">
              <w:rPr>
                <w:lang w:eastAsia="en-AU"/>
              </w:rPr>
              <w:t>Not reported</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E93C088" w14:textId="77777777" w:rsidR="00321644" w:rsidRPr="00CE5F61" w:rsidRDefault="00321644" w:rsidP="00E545BB">
            <w:pPr>
              <w:rPr>
                <w:lang w:eastAsia="en-AU"/>
              </w:rPr>
            </w:pPr>
            <w:r w:rsidRPr="00CE5F61">
              <w:rPr>
                <w:lang w:eastAsia="en-AU"/>
              </w:rPr>
              <w:t>67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54DD5DC" w14:textId="77777777" w:rsidR="00321644" w:rsidRPr="00CE5F61" w:rsidRDefault="00321644" w:rsidP="00E545BB">
            <w:pPr>
              <w:rPr>
                <w:lang w:eastAsia="en-AU"/>
              </w:rPr>
            </w:pPr>
            <w:r w:rsidRPr="00CE5F61">
              <w:rPr>
                <w:lang w:eastAsia="en-AU"/>
              </w:rPr>
              <w:t>57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6121218" w14:textId="77777777" w:rsidR="00321644" w:rsidRPr="00CE5F61" w:rsidRDefault="00321644" w:rsidP="00E545BB">
            <w:pPr>
              <w:rPr>
                <w:lang w:eastAsia="en-AU"/>
              </w:rPr>
            </w:pPr>
            <w:r w:rsidRPr="00CE5F61">
              <w:rPr>
                <w:lang w:eastAsia="en-AU"/>
              </w:rPr>
              <w:t>52 per cent</w:t>
            </w:r>
          </w:p>
        </w:tc>
      </w:tr>
      <w:tr w:rsidR="00521D0D" w:rsidRPr="00CE5F61" w14:paraId="5750DBDB"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82906A7" w14:textId="77777777" w:rsidR="00321644" w:rsidRPr="00CE5F61" w:rsidRDefault="00321644" w:rsidP="00E545BB">
            <w:pPr>
              <w:rPr>
                <w:lang w:eastAsia="en-AU"/>
              </w:rPr>
            </w:pPr>
            <w:r w:rsidRPr="00CE5F61">
              <w:rPr>
                <w:lang w:eastAsia="en-AU"/>
              </w:rPr>
              <w:t>Dietitian</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8F0F913" w14:textId="63D33BFB" w:rsidR="00321644" w:rsidRPr="00CE5F61" w:rsidRDefault="00321644" w:rsidP="00E545BB">
            <w:pPr>
              <w:rPr>
                <w:lang w:eastAsia="en-AU"/>
              </w:rPr>
            </w:pPr>
            <w:r w:rsidRPr="00CE5F61">
              <w:rPr>
                <w:lang w:eastAsia="en-AU"/>
              </w:rPr>
              <w:t>58</w:t>
            </w:r>
            <w:r>
              <w:rPr>
                <w:lang w:eastAsia="en-AU"/>
              </w:rPr>
              <w:t xml:space="preserve"> </w:t>
            </w:r>
            <w:r w:rsidRPr="00CE5F61">
              <w:rPr>
                <w:lang w:eastAsia="en-AU"/>
              </w:rPr>
              <w:t>per</w:t>
            </w:r>
            <w:r>
              <w:rPr>
                <w:lang w:eastAsia="en-AU"/>
              </w:rPr>
              <w:t xml:space="preserve"> </w:t>
            </w:r>
            <w:r w:rsidRPr="00CE5F61">
              <w:rPr>
                <w:lang w:eastAsia="en-AU"/>
              </w:rPr>
              <w:t>cent</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9047E3" w14:textId="77777777" w:rsidR="00321644" w:rsidRPr="00CE5F61" w:rsidRDefault="00321644" w:rsidP="00E545BB">
            <w:pPr>
              <w:rPr>
                <w:lang w:eastAsia="en-AU"/>
              </w:rPr>
            </w:pPr>
            <w:r w:rsidRPr="00CE5F61">
              <w:rPr>
                <w:lang w:eastAsia="en-AU"/>
              </w:rPr>
              <w:t>72 per cent</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D229E36" w14:textId="77777777" w:rsidR="00321644" w:rsidRPr="00CE5F61" w:rsidRDefault="00321644" w:rsidP="00E545BB">
            <w:pPr>
              <w:rPr>
                <w:lang w:eastAsia="en-AU"/>
              </w:rPr>
            </w:pPr>
            <w:r w:rsidRPr="00CE5F61">
              <w:rPr>
                <w:lang w:eastAsia="en-AU"/>
              </w:rPr>
              <w:t>83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41C7A25" w14:textId="77777777" w:rsidR="00321644" w:rsidRPr="00CE5F61" w:rsidRDefault="00321644" w:rsidP="00E545BB">
            <w:pPr>
              <w:rPr>
                <w:lang w:eastAsia="en-AU"/>
              </w:rPr>
            </w:pPr>
            <w:r w:rsidRPr="00CE5F61">
              <w:rPr>
                <w:lang w:eastAsia="en-AU"/>
              </w:rPr>
              <w:t>68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386D973" w14:textId="77777777" w:rsidR="00321644" w:rsidRPr="00CE5F61" w:rsidRDefault="00321644" w:rsidP="00E545BB">
            <w:pPr>
              <w:rPr>
                <w:lang w:eastAsia="en-AU"/>
              </w:rPr>
            </w:pPr>
            <w:r w:rsidRPr="00CE5F61">
              <w:rPr>
                <w:lang w:eastAsia="en-AU"/>
              </w:rPr>
              <w:t>55 per cent</w:t>
            </w:r>
          </w:p>
        </w:tc>
      </w:tr>
      <w:tr w:rsidR="00521D0D" w:rsidRPr="00CE5F61" w14:paraId="57A1E8CD"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40F3A8C" w14:textId="77777777" w:rsidR="00321644" w:rsidRPr="00CE5F61" w:rsidRDefault="00321644" w:rsidP="00E545BB">
            <w:pPr>
              <w:rPr>
                <w:lang w:eastAsia="en-AU"/>
              </w:rPr>
            </w:pPr>
            <w:r w:rsidRPr="00CE5F61">
              <w:rPr>
                <w:lang w:eastAsia="en-AU"/>
              </w:rPr>
              <w:t>Physiotherapist</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745EC77" w14:textId="77777777" w:rsidR="00321644" w:rsidRPr="00CE5F61" w:rsidRDefault="00321644" w:rsidP="00E545BB">
            <w:pPr>
              <w:rPr>
                <w:lang w:eastAsia="en-AU"/>
              </w:rPr>
            </w:pPr>
            <w:r w:rsidRPr="00CE5F61">
              <w:rPr>
                <w:lang w:eastAsia="en-AU"/>
              </w:rPr>
              <w:t>76 per cent</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08D88BF" w14:textId="77777777" w:rsidR="00321644" w:rsidRPr="00CE5F61" w:rsidRDefault="00321644" w:rsidP="00E545BB">
            <w:pPr>
              <w:rPr>
                <w:lang w:eastAsia="en-AU"/>
              </w:rPr>
            </w:pPr>
            <w:r w:rsidRPr="00CE5F61">
              <w:rPr>
                <w:lang w:eastAsia="en-AU"/>
              </w:rPr>
              <w:t>80 per cent</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0C3AFFF" w14:textId="77777777" w:rsidR="00321644" w:rsidRPr="00CE5F61" w:rsidRDefault="00321644" w:rsidP="00E545BB">
            <w:pPr>
              <w:rPr>
                <w:lang w:eastAsia="en-AU"/>
              </w:rPr>
            </w:pPr>
            <w:r w:rsidRPr="00CE5F61">
              <w:rPr>
                <w:lang w:eastAsia="en-AU"/>
              </w:rPr>
              <w:t>86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E43B4B5" w14:textId="77777777" w:rsidR="00321644" w:rsidRPr="00CE5F61" w:rsidRDefault="00321644" w:rsidP="00E545BB">
            <w:pPr>
              <w:rPr>
                <w:lang w:eastAsia="en-AU"/>
              </w:rPr>
            </w:pPr>
            <w:r w:rsidRPr="00CE5F61">
              <w:rPr>
                <w:lang w:eastAsia="en-AU"/>
              </w:rPr>
              <w:t>78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6787EB7" w14:textId="77777777" w:rsidR="00321644" w:rsidRPr="00CE5F61" w:rsidRDefault="00321644" w:rsidP="00E545BB">
            <w:pPr>
              <w:rPr>
                <w:lang w:eastAsia="en-AU"/>
              </w:rPr>
            </w:pPr>
            <w:r w:rsidRPr="00CE5F61">
              <w:rPr>
                <w:lang w:eastAsia="en-AU"/>
              </w:rPr>
              <w:t>74 per cent</w:t>
            </w:r>
          </w:p>
        </w:tc>
      </w:tr>
      <w:tr w:rsidR="00521D0D" w:rsidRPr="00CE5F61" w14:paraId="62A607D2"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96CF4C2" w14:textId="77777777" w:rsidR="00321644" w:rsidRPr="00CE5F61" w:rsidRDefault="00321644" w:rsidP="00E545BB">
            <w:pPr>
              <w:rPr>
                <w:lang w:eastAsia="en-AU"/>
              </w:rPr>
            </w:pPr>
            <w:r w:rsidRPr="00CE5F61">
              <w:rPr>
                <w:lang w:eastAsia="en-AU"/>
              </w:rPr>
              <w:t>Psychologist</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3F6B315" w14:textId="77777777" w:rsidR="00321644" w:rsidRPr="00CE5F61" w:rsidRDefault="00321644" w:rsidP="00E545BB">
            <w:pPr>
              <w:rPr>
                <w:lang w:eastAsia="en-AU"/>
              </w:rPr>
            </w:pPr>
            <w:r w:rsidRPr="00CE5F61">
              <w:rPr>
                <w:lang w:eastAsia="en-AU"/>
              </w:rPr>
              <w:t>87 per cent</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A41092B" w14:textId="77777777" w:rsidR="00321644" w:rsidRPr="00CE5F61" w:rsidRDefault="00321644" w:rsidP="00E545BB">
            <w:pPr>
              <w:rPr>
                <w:lang w:eastAsia="en-AU"/>
              </w:rPr>
            </w:pPr>
            <w:r w:rsidRPr="00CE5F61">
              <w:rPr>
                <w:lang w:eastAsia="en-AU"/>
              </w:rPr>
              <w:t>89 per cent</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C09769B" w14:textId="77777777" w:rsidR="00321644" w:rsidRPr="00CE5F61" w:rsidRDefault="00321644" w:rsidP="00E545BB">
            <w:pPr>
              <w:rPr>
                <w:lang w:eastAsia="en-AU"/>
              </w:rPr>
            </w:pPr>
            <w:r w:rsidRPr="00CE5F61">
              <w:rPr>
                <w:lang w:eastAsia="en-AU"/>
              </w:rPr>
              <w:t>94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2181D29" w14:textId="77777777" w:rsidR="00321644" w:rsidRPr="00CE5F61" w:rsidRDefault="00321644" w:rsidP="00E545BB">
            <w:pPr>
              <w:rPr>
                <w:lang w:eastAsia="en-AU"/>
              </w:rPr>
            </w:pPr>
            <w:r w:rsidRPr="00CE5F61">
              <w:rPr>
                <w:lang w:eastAsia="en-AU"/>
              </w:rPr>
              <w:t>91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2236352" w14:textId="77777777" w:rsidR="00321644" w:rsidRPr="00CE5F61" w:rsidRDefault="00321644" w:rsidP="00E545BB">
            <w:pPr>
              <w:rPr>
                <w:lang w:eastAsia="en-AU"/>
              </w:rPr>
            </w:pPr>
            <w:r w:rsidRPr="00CE5F61">
              <w:rPr>
                <w:lang w:eastAsia="en-AU"/>
              </w:rPr>
              <w:t>83 per cent</w:t>
            </w:r>
          </w:p>
        </w:tc>
      </w:tr>
      <w:tr w:rsidR="00521D0D" w:rsidRPr="00CE5F61" w14:paraId="34E97FEA"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686E4A0" w14:textId="6E110FC8" w:rsidR="00321644" w:rsidRPr="00CE5F61" w:rsidRDefault="00321644" w:rsidP="00E545BB">
            <w:pPr>
              <w:rPr>
                <w:lang w:eastAsia="en-AU"/>
              </w:rPr>
            </w:pPr>
            <w:r w:rsidRPr="00CE5F61">
              <w:rPr>
                <w:lang w:eastAsia="en-AU"/>
              </w:rPr>
              <w:lastRenderedPageBreak/>
              <w:t>Behaviour support practitioner</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FD7FBA" w14:textId="77777777" w:rsidR="00321644" w:rsidRPr="00CE5F61" w:rsidRDefault="00321644" w:rsidP="00E545BB">
            <w:pPr>
              <w:rPr>
                <w:lang w:eastAsia="en-AU"/>
              </w:rPr>
            </w:pPr>
            <w:r w:rsidRPr="00CE5F61">
              <w:rPr>
                <w:lang w:eastAsia="en-AU"/>
              </w:rPr>
              <w:t>Not reported</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B19E5DA" w14:textId="77777777" w:rsidR="00321644" w:rsidRPr="00CE5F61" w:rsidRDefault="00321644" w:rsidP="00E545BB">
            <w:pPr>
              <w:rPr>
                <w:lang w:eastAsia="en-AU"/>
              </w:rPr>
            </w:pPr>
            <w:r w:rsidRPr="00CE5F61">
              <w:rPr>
                <w:lang w:eastAsia="en-AU"/>
              </w:rPr>
              <w:t>Not reported</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B93A986" w14:textId="77777777" w:rsidR="00321644" w:rsidRPr="00CE5F61" w:rsidRDefault="00321644" w:rsidP="00E545BB">
            <w:pPr>
              <w:rPr>
                <w:lang w:eastAsia="en-AU"/>
              </w:rPr>
            </w:pPr>
            <w:r w:rsidRPr="00CE5F61">
              <w:rPr>
                <w:lang w:eastAsia="en-AU"/>
              </w:rPr>
              <w:t>Not reported</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ADB3E8A" w14:textId="77777777" w:rsidR="00321644" w:rsidRPr="00CE5F61" w:rsidRDefault="00321644" w:rsidP="00E545BB">
            <w:pPr>
              <w:rPr>
                <w:lang w:eastAsia="en-AU"/>
              </w:rPr>
            </w:pPr>
            <w:r w:rsidRPr="00CE5F61">
              <w:rPr>
                <w:lang w:eastAsia="en-AU"/>
              </w:rPr>
              <w:t>88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7FB0B33" w14:textId="77777777" w:rsidR="00321644" w:rsidRPr="00CE5F61" w:rsidRDefault="00321644" w:rsidP="00E545BB">
            <w:pPr>
              <w:rPr>
                <w:lang w:eastAsia="en-AU"/>
              </w:rPr>
            </w:pPr>
            <w:r w:rsidRPr="00CE5F61">
              <w:rPr>
                <w:lang w:eastAsia="en-AU"/>
              </w:rPr>
              <w:t>85 per cent</w:t>
            </w:r>
          </w:p>
        </w:tc>
      </w:tr>
      <w:tr w:rsidR="00521D0D" w:rsidRPr="00CE5F61" w14:paraId="570A1ACD"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CDD0C6B" w14:textId="77777777" w:rsidR="00321644" w:rsidRPr="00CE5F61" w:rsidRDefault="00321644" w:rsidP="00E545BB">
            <w:pPr>
              <w:rPr>
                <w:lang w:eastAsia="en-AU"/>
              </w:rPr>
            </w:pPr>
            <w:r w:rsidRPr="00CE5F61">
              <w:rPr>
                <w:lang w:eastAsia="en-AU"/>
              </w:rPr>
              <w:t>Speech therapist</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73271F6" w14:textId="77777777" w:rsidR="00321644" w:rsidRPr="00CE5F61" w:rsidRDefault="00321644" w:rsidP="00E545BB">
            <w:pPr>
              <w:rPr>
                <w:lang w:eastAsia="en-AU"/>
              </w:rPr>
            </w:pPr>
            <w:r w:rsidRPr="00CE5F61">
              <w:rPr>
                <w:lang w:eastAsia="en-AU"/>
              </w:rPr>
              <w:t>83 per cent</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54AC567" w14:textId="77777777" w:rsidR="00321644" w:rsidRPr="00CE5F61" w:rsidRDefault="00321644" w:rsidP="00E545BB">
            <w:pPr>
              <w:rPr>
                <w:lang w:eastAsia="en-AU"/>
              </w:rPr>
            </w:pPr>
            <w:r w:rsidRPr="00CE5F61">
              <w:rPr>
                <w:lang w:eastAsia="en-AU"/>
              </w:rPr>
              <w:t>93 per cent</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083F4DB" w14:textId="77777777" w:rsidR="00321644" w:rsidRPr="00CE5F61" w:rsidRDefault="00321644" w:rsidP="00E545BB">
            <w:pPr>
              <w:rPr>
                <w:lang w:eastAsia="en-AU"/>
              </w:rPr>
            </w:pPr>
            <w:r w:rsidRPr="00CE5F61">
              <w:rPr>
                <w:lang w:eastAsia="en-AU"/>
              </w:rPr>
              <w:t>98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15559E3" w14:textId="77777777" w:rsidR="00321644" w:rsidRPr="00CE5F61" w:rsidRDefault="00321644" w:rsidP="00E545BB">
            <w:pPr>
              <w:rPr>
                <w:lang w:eastAsia="en-AU"/>
              </w:rPr>
            </w:pPr>
            <w:r w:rsidRPr="00CE5F61">
              <w:rPr>
                <w:lang w:eastAsia="en-AU"/>
              </w:rPr>
              <w:t>86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2663B9E" w14:textId="77777777" w:rsidR="00321644" w:rsidRPr="00CE5F61" w:rsidRDefault="00321644" w:rsidP="00E545BB">
            <w:pPr>
              <w:rPr>
                <w:lang w:eastAsia="en-AU"/>
              </w:rPr>
            </w:pPr>
            <w:r w:rsidRPr="00CE5F61">
              <w:rPr>
                <w:lang w:eastAsia="en-AU"/>
              </w:rPr>
              <w:t>88 per cent</w:t>
            </w:r>
          </w:p>
        </w:tc>
      </w:tr>
      <w:tr w:rsidR="00521D0D" w:rsidRPr="00CE5F61" w14:paraId="053775EA" w14:textId="77777777" w:rsidTr="00521D0D">
        <w:trPr>
          <w:trHeight w:val="300"/>
        </w:trPr>
        <w:tc>
          <w:tcPr>
            <w:tcW w:w="186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9B314CC" w14:textId="77777777" w:rsidR="00321644" w:rsidRPr="00CE5F61" w:rsidRDefault="00321644" w:rsidP="00E545BB">
            <w:pPr>
              <w:rPr>
                <w:lang w:eastAsia="en-AU"/>
              </w:rPr>
            </w:pPr>
            <w:r w:rsidRPr="00CE5F61">
              <w:rPr>
                <w:lang w:eastAsia="en-AU"/>
              </w:rPr>
              <w:t>Occupational therapist</w:t>
            </w:r>
          </w:p>
        </w:tc>
        <w:tc>
          <w:tcPr>
            <w:tcW w:w="124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631A649" w14:textId="77777777" w:rsidR="00321644" w:rsidRPr="00CE5F61" w:rsidRDefault="00321644" w:rsidP="00E545BB">
            <w:pPr>
              <w:rPr>
                <w:lang w:eastAsia="en-AU"/>
              </w:rPr>
            </w:pPr>
            <w:r w:rsidRPr="00CE5F61">
              <w:rPr>
                <w:lang w:eastAsia="en-AU"/>
              </w:rPr>
              <w:t>86 per cent</w:t>
            </w:r>
          </w:p>
        </w:tc>
        <w:tc>
          <w:tcPr>
            <w:tcW w:w="15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9C4FFA2" w14:textId="77777777" w:rsidR="00321644" w:rsidRPr="00CE5F61" w:rsidRDefault="00321644" w:rsidP="00E545BB">
            <w:pPr>
              <w:rPr>
                <w:lang w:eastAsia="en-AU"/>
              </w:rPr>
            </w:pPr>
            <w:r w:rsidRPr="00CE5F61">
              <w:rPr>
                <w:lang w:eastAsia="en-AU"/>
              </w:rPr>
              <w:t>92 per cent</w:t>
            </w:r>
          </w:p>
        </w:tc>
        <w:tc>
          <w:tcPr>
            <w:tcW w:w="143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58FBDC5" w14:textId="77777777" w:rsidR="00321644" w:rsidRPr="00CE5F61" w:rsidRDefault="00321644" w:rsidP="00E545BB">
            <w:pPr>
              <w:rPr>
                <w:lang w:eastAsia="en-AU"/>
              </w:rPr>
            </w:pPr>
            <w:r w:rsidRPr="00CE5F61">
              <w:rPr>
                <w:lang w:eastAsia="en-AU"/>
              </w:rPr>
              <w:t>97 per cent</w:t>
            </w:r>
          </w:p>
        </w:tc>
        <w:tc>
          <w:tcPr>
            <w:tcW w:w="144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6701931" w14:textId="77777777" w:rsidR="00321644" w:rsidRPr="00CE5F61" w:rsidRDefault="00321644" w:rsidP="00E545BB">
            <w:pPr>
              <w:rPr>
                <w:lang w:eastAsia="en-AU"/>
              </w:rPr>
            </w:pPr>
            <w:r w:rsidRPr="00CE5F61">
              <w:rPr>
                <w:lang w:eastAsia="en-AU"/>
              </w:rPr>
              <w:t>92 per cent</w:t>
            </w:r>
          </w:p>
        </w:tc>
        <w:tc>
          <w:tcPr>
            <w:tcW w:w="145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583328F" w14:textId="77777777" w:rsidR="00321644" w:rsidRPr="00CE5F61" w:rsidRDefault="00321644" w:rsidP="00E545BB">
            <w:pPr>
              <w:rPr>
                <w:lang w:eastAsia="en-AU"/>
              </w:rPr>
            </w:pPr>
            <w:r w:rsidRPr="00CE5F61">
              <w:rPr>
                <w:lang w:eastAsia="en-AU"/>
              </w:rPr>
              <w:t>91 per cent</w:t>
            </w:r>
          </w:p>
        </w:tc>
      </w:tr>
    </w:tbl>
    <w:p w14:paraId="7504015B" w14:textId="13CBEB3F" w:rsidR="00A461B0" w:rsidRPr="00E33915" w:rsidRDefault="00A461B0" w:rsidP="00A461B0">
      <w:pPr>
        <w:pStyle w:val="Caption"/>
      </w:pPr>
      <w:bookmarkStart w:id="98" w:name="_Ref183700551"/>
      <w:r w:rsidRPr="001A77F7">
        <w:rPr>
          <w:b/>
          <w:bCs/>
        </w:rPr>
        <w:t>Table </w:t>
      </w:r>
      <w:r w:rsidRPr="001A77F7">
        <w:rPr>
          <w:b/>
          <w:bCs/>
        </w:rPr>
        <w:fldChar w:fldCharType="begin"/>
      </w:r>
      <w:r w:rsidRPr="001A77F7">
        <w:rPr>
          <w:b/>
          <w:bCs/>
        </w:rPr>
        <w:instrText xml:space="preserve"> SEQ Table \* ARABIC </w:instrText>
      </w:r>
      <w:r w:rsidRPr="001A77F7">
        <w:rPr>
          <w:b/>
          <w:bCs/>
        </w:rPr>
        <w:fldChar w:fldCharType="separate"/>
      </w:r>
      <w:r w:rsidR="00DC68AF">
        <w:rPr>
          <w:b/>
          <w:bCs/>
          <w:noProof/>
        </w:rPr>
        <w:t>26</w:t>
      </w:r>
      <w:r w:rsidRPr="001A77F7">
        <w:rPr>
          <w:b/>
          <w:bCs/>
          <w:noProof/>
        </w:rPr>
        <w:fldChar w:fldCharType="end"/>
      </w:r>
      <w:bookmarkEnd w:id="98"/>
      <w:r w:rsidRPr="005259D1">
        <w:t xml:space="preserve"> </w:t>
      </w:r>
      <w:r w:rsidRPr="00E33915">
        <w:t xml:space="preserve">Difficulties in retention over </w:t>
      </w:r>
      <w:r w:rsidRPr="0034732E">
        <w:t xml:space="preserve">time </w:t>
      </w:r>
      <w:r w:rsidRPr="0034732E">
        <w:rPr>
          <w:rFonts w:cs="Arial"/>
          <w:szCs w:val="24"/>
        </w:rPr>
        <w:t>– frontline workforce</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Table 26 Difficulties in retention over time – frontline workforce"/>
        <w:tblDescription w:val="A table showing the difficulties in the recruitment of frontline workforce in the sector over time. Trend data from 2020 to 2024."/>
      </w:tblPr>
      <w:tblGrid>
        <w:gridCol w:w="2587"/>
        <w:gridCol w:w="1233"/>
        <w:gridCol w:w="1275"/>
        <w:gridCol w:w="1345"/>
        <w:gridCol w:w="1285"/>
        <w:gridCol w:w="1285"/>
      </w:tblGrid>
      <w:tr w:rsidR="00A461B0" w:rsidRPr="008004C4" w14:paraId="67194C8B" w14:textId="77777777" w:rsidTr="00726F1E">
        <w:trPr>
          <w:trHeight w:val="300"/>
          <w:tblHeader/>
        </w:trPr>
        <w:tc>
          <w:tcPr>
            <w:tcW w:w="2587"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35B4F6BF" w14:textId="77777777" w:rsidR="00A461B0" w:rsidRPr="008004C4" w:rsidRDefault="00A461B0" w:rsidP="00726F1E">
            <w:pPr>
              <w:rPr>
                <w:b/>
                <w:bCs/>
              </w:rPr>
            </w:pPr>
            <w:bookmarkStart w:id="99" w:name="Title_Table_26"/>
            <w:bookmarkEnd w:id="99"/>
            <w:r w:rsidRPr="008004C4">
              <w:rPr>
                <w:b/>
                <w:bCs/>
              </w:rPr>
              <w:t>Occupational group</w:t>
            </w:r>
          </w:p>
        </w:tc>
        <w:tc>
          <w:tcPr>
            <w:tcW w:w="1233"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A6ACC6F" w14:textId="77777777" w:rsidR="00A461B0" w:rsidRPr="008004C4" w:rsidRDefault="00A461B0" w:rsidP="00726F1E">
            <w:pPr>
              <w:rPr>
                <w:b/>
                <w:bCs/>
              </w:rPr>
            </w:pPr>
            <w:r w:rsidRPr="008004C4">
              <w:rPr>
                <w:b/>
                <w:bCs/>
              </w:rPr>
              <w:t>2020</w:t>
            </w:r>
          </w:p>
        </w:tc>
        <w:tc>
          <w:tcPr>
            <w:tcW w:w="127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6E31B05D" w14:textId="77777777" w:rsidR="00A461B0" w:rsidRPr="008004C4" w:rsidRDefault="00A461B0" w:rsidP="00726F1E">
            <w:pPr>
              <w:rPr>
                <w:b/>
                <w:bCs/>
              </w:rPr>
            </w:pPr>
            <w:r w:rsidRPr="008004C4">
              <w:rPr>
                <w:b/>
                <w:bCs/>
              </w:rPr>
              <w:t>2021</w:t>
            </w:r>
          </w:p>
        </w:tc>
        <w:tc>
          <w:tcPr>
            <w:tcW w:w="134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347CB50" w14:textId="77777777" w:rsidR="00A461B0" w:rsidRPr="008004C4" w:rsidRDefault="00A461B0" w:rsidP="00726F1E">
            <w:pPr>
              <w:rPr>
                <w:b/>
                <w:bCs/>
              </w:rPr>
            </w:pPr>
            <w:r w:rsidRPr="008004C4">
              <w:rPr>
                <w:b/>
                <w:bCs/>
              </w:rPr>
              <w:t>2022</w:t>
            </w:r>
          </w:p>
        </w:tc>
        <w:tc>
          <w:tcPr>
            <w:tcW w:w="128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44F6259" w14:textId="77777777" w:rsidR="00A461B0" w:rsidRPr="008004C4" w:rsidRDefault="00A461B0" w:rsidP="00726F1E">
            <w:pPr>
              <w:rPr>
                <w:b/>
                <w:bCs/>
              </w:rPr>
            </w:pPr>
            <w:r w:rsidRPr="008004C4">
              <w:rPr>
                <w:b/>
                <w:bCs/>
              </w:rPr>
              <w:t>2023</w:t>
            </w:r>
          </w:p>
        </w:tc>
        <w:tc>
          <w:tcPr>
            <w:tcW w:w="128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47CE992" w14:textId="77777777" w:rsidR="00A461B0" w:rsidRPr="008004C4" w:rsidRDefault="00A461B0" w:rsidP="00726F1E">
            <w:pPr>
              <w:rPr>
                <w:b/>
                <w:bCs/>
              </w:rPr>
            </w:pPr>
            <w:r w:rsidRPr="008004C4">
              <w:rPr>
                <w:b/>
                <w:bCs/>
              </w:rPr>
              <w:t>2024</w:t>
            </w:r>
          </w:p>
        </w:tc>
      </w:tr>
      <w:tr w:rsidR="00A461B0" w:rsidRPr="00CE5F61" w14:paraId="65959D97" w14:textId="77777777" w:rsidTr="00726F1E">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09A6DC7" w14:textId="77777777" w:rsidR="00A461B0" w:rsidRPr="00CE5F61" w:rsidRDefault="00A461B0" w:rsidP="00726F1E">
            <w:r w:rsidRPr="00CE5F61">
              <w:t>Disability support worker</w:t>
            </w:r>
          </w:p>
        </w:tc>
        <w:tc>
          <w:tcPr>
            <w:tcW w:w="123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7239BE" w14:textId="77777777" w:rsidR="00A461B0" w:rsidRPr="00CE5F61" w:rsidRDefault="00A461B0" w:rsidP="00726F1E">
            <w:r w:rsidRPr="00CE5F61">
              <w:t>60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C1E0EAE" w14:textId="77777777" w:rsidR="00A461B0" w:rsidRPr="00CE5F61" w:rsidRDefault="00A461B0" w:rsidP="00726F1E">
            <w:r w:rsidRPr="00CE5F61">
              <w:t>70 per cent</w:t>
            </w:r>
          </w:p>
        </w:tc>
        <w:tc>
          <w:tcPr>
            <w:tcW w:w="134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8260F30" w14:textId="77777777" w:rsidR="00A461B0" w:rsidRPr="00CE5F61" w:rsidRDefault="00A461B0" w:rsidP="00726F1E">
            <w:r w:rsidRPr="00CE5F61">
              <w:t>83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7218685" w14:textId="77777777" w:rsidR="00A461B0" w:rsidRPr="00CE5F61" w:rsidRDefault="00A461B0" w:rsidP="00726F1E">
            <w:r w:rsidRPr="00CE5F61">
              <w:t>78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C326D3D" w14:textId="77777777" w:rsidR="00A461B0" w:rsidRPr="00CE5F61" w:rsidRDefault="00A461B0" w:rsidP="00726F1E">
            <w:r w:rsidRPr="00CE5F61">
              <w:t>58 per cent</w:t>
            </w:r>
          </w:p>
        </w:tc>
      </w:tr>
      <w:tr w:rsidR="00A461B0" w:rsidRPr="00CE5F61" w14:paraId="2146C1CC" w14:textId="77777777" w:rsidTr="00726F1E">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7CBA15E" w14:textId="77777777" w:rsidR="00A461B0" w:rsidRPr="00CE5F61" w:rsidRDefault="00A461B0" w:rsidP="00726F1E">
            <w:r w:rsidRPr="00CE5F61">
              <w:t>Early childhood educator</w:t>
            </w:r>
          </w:p>
        </w:tc>
        <w:tc>
          <w:tcPr>
            <w:tcW w:w="123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9FA6220" w14:textId="77777777" w:rsidR="00A461B0" w:rsidRPr="00CE5F61" w:rsidRDefault="00A461B0" w:rsidP="00726F1E">
            <w:r w:rsidRPr="00CE5F61">
              <w:t>Not reported</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5932A56" w14:textId="77777777" w:rsidR="00A461B0" w:rsidRPr="00CE5F61" w:rsidRDefault="00A461B0" w:rsidP="00726F1E">
            <w:r w:rsidRPr="00CE5F61">
              <w:t>Not reported</w:t>
            </w:r>
          </w:p>
        </w:tc>
        <w:tc>
          <w:tcPr>
            <w:tcW w:w="134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9CBEE5F" w14:textId="77777777" w:rsidR="00A461B0" w:rsidRPr="00CE5F61" w:rsidRDefault="00A461B0" w:rsidP="00726F1E">
            <w:r w:rsidRPr="00CE5F61">
              <w:t>70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849724" w14:textId="77777777" w:rsidR="00A461B0" w:rsidRPr="00CE5F61" w:rsidRDefault="00A461B0" w:rsidP="00726F1E">
            <w:r w:rsidRPr="00CE5F61">
              <w:t>58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CA717BF" w14:textId="77777777" w:rsidR="00A461B0" w:rsidRPr="00CE5F61" w:rsidRDefault="00A461B0" w:rsidP="00726F1E">
            <w:r w:rsidRPr="00CE5F61">
              <w:t>60 per cent</w:t>
            </w:r>
          </w:p>
        </w:tc>
      </w:tr>
      <w:tr w:rsidR="00A461B0" w:rsidRPr="00CE5F61" w14:paraId="362D5F73" w14:textId="77777777" w:rsidTr="00726F1E">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285668F" w14:textId="77777777" w:rsidR="00A461B0" w:rsidRPr="00CE5F61" w:rsidRDefault="00A461B0" w:rsidP="00726F1E">
            <w:r w:rsidRPr="00CE5F61">
              <w:t>Managers/supervisors of disability support worker</w:t>
            </w:r>
          </w:p>
        </w:tc>
        <w:tc>
          <w:tcPr>
            <w:tcW w:w="123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2BC3F4F" w14:textId="77777777" w:rsidR="00A461B0" w:rsidRPr="00CE5F61" w:rsidRDefault="00A461B0" w:rsidP="00726F1E">
            <w:r w:rsidRPr="00CE5F61">
              <w:t>56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AD59EDA" w14:textId="77777777" w:rsidR="00A461B0" w:rsidRPr="00CE5F61" w:rsidRDefault="00A461B0" w:rsidP="00726F1E">
            <w:r w:rsidRPr="00CE5F61">
              <w:t>68 per cent</w:t>
            </w:r>
          </w:p>
        </w:tc>
        <w:tc>
          <w:tcPr>
            <w:tcW w:w="134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03BF348" w14:textId="77777777" w:rsidR="00A461B0" w:rsidRPr="00CE5F61" w:rsidRDefault="00A461B0" w:rsidP="00726F1E">
            <w:r w:rsidRPr="00CE5F61">
              <w:t>77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6F0BBB8" w14:textId="77777777" w:rsidR="00A461B0" w:rsidRPr="00CE5F61" w:rsidRDefault="00A461B0" w:rsidP="00726F1E">
            <w:r w:rsidRPr="00CE5F61">
              <w:t>73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C5E3BEB" w14:textId="77777777" w:rsidR="00A461B0" w:rsidRPr="00CE5F61" w:rsidRDefault="00A461B0" w:rsidP="00726F1E">
            <w:r w:rsidRPr="00CE5F61">
              <w:t>63 per cent</w:t>
            </w:r>
          </w:p>
        </w:tc>
      </w:tr>
      <w:tr w:rsidR="00A461B0" w:rsidRPr="00CE5F61" w14:paraId="0FC1DB24" w14:textId="77777777" w:rsidTr="00726F1E">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5B389DC" w14:textId="77777777" w:rsidR="00A461B0" w:rsidRPr="00CE5F61" w:rsidRDefault="00A461B0" w:rsidP="00726F1E">
            <w:r w:rsidRPr="00CE5F61">
              <w:t>Volunteers</w:t>
            </w:r>
          </w:p>
        </w:tc>
        <w:tc>
          <w:tcPr>
            <w:tcW w:w="123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3BC708C" w14:textId="77777777" w:rsidR="00A461B0" w:rsidRPr="00CE5F61" w:rsidRDefault="00A461B0" w:rsidP="00726F1E">
            <w:r w:rsidRPr="00CE5F61">
              <w:t>Not reported</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F368A77" w14:textId="77777777" w:rsidR="00A461B0" w:rsidRPr="00CE5F61" w:rsidRDefault="00A461B0" w:rsidP="00726F1E">
            <w:r w:rsidRPr="00CE5F61">
              <w:t>57 per cent</w:t>
            </w:r>
          </w:p>
        </w:tc>
        <w:tc>
          <w:tcPr>
            <w:tcW w:w="134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A6AEEBD" w14:textId="77777777" w:rsidR="00A461B0" w:rsidRPr="00CE5F61" w:rsidRDefault="00A461B0" w:rsidP="00726F1E">
            <w:r w:rsidRPr="00CE5F61">
              <w:t>71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355BE13" w14:textId="77777777" w:rsidR="00A461B0" w:rsidRPr="00CE5F61" w:rsidRDefault="00A461B0" w:rsidP="00726F1E">
            <w:r w:rsidRPr="00CE5F61">
              <w:t>69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B69AA95" w14:textId="77777777" w:rsidR="00A461B0" w:rsidRPr="00CE5F61" w:rsidRDefault="00A461B0" w:rsidP="00726F1E">
            <w:r w:rsidRPr="00CE5F61">
              <w:t>69 per cent</w:t>
            </w:r>
          </w:p>
        </w:tc>
      </w:tr>
    </w:tbl>
    <w:p w14:paraId="1DBADF5C" w14:textId="28E8FE1D" w:rsidR="007E78C3" w:rsidRPr="007E78C3" w:rsidRDefault="007E78C3" w:rsidP="007E78C3">
      <w:pPr>
        <w:pStyle w:val="Caption"/>
      </w:pPr>
      <w:bookmarkStart w:id="100" w:name="_Ref184222218"/>
      <w:bookmarkStart w:id="101" w:name="_Ref183700724"/>
      <w:r w:rsidRPr="00E211CD">
        <w:rPr>
          <w:b/>
          <w:bCs/>
        </w:rPr>
        <w:t xml:space="preserve">Table </w:t>
      </w:r>
      <w:r w:rsidRPr="00E211CD">
        <w:rPr>
          <w:b/>
          <w:bCs/>
        </w:rPr>
        <w:fldChar w:fldCharType="begin"/>
      </w:r>
      <w:r w:rsidRPr="00E211CD">
        <w:rPr>
          <w:b/>
          <w:bCs/>
        </w:rPr>
        <w:instrText xml:space="preserve"> SEQ Table \* ARABIC </w:instrText>
      </w:r>
      <w:r w:rsidRPr="00E211CD">
        <w:rPr>
          <w:b/>
          <w:bCs/>
        </w:rPr>
        <w:fldChar w:fldCharType="separate"/>
      </w:r>
      <w:r w:rsidR="00DC68AF" w:rsidRPr="00E211CD">
        <w:rPr>
          <w:b/>
          <w:bCs/>
          <w:noProof/>
        </w:rPr>
        <w:t>27</w:t>
      </w:r>
      <w:r w:rsidRPr="00E211CD">
        <w:rPr>
          <w:b/>
          <w:bCs/>
        </w:rPr>
        <w:fldChar w:fldCharType="end"/>
      </w:r>
      <w:bookmarkEnd w:id="100"/>
      <w:r w:rsidRPr="00E211CD">
        <w:t xml:space="preserve"> </w:t>
      </w:r>
      <w:bookmarkStart w:id="102" w:name="_Hlk184205447"/>
      <w:r w:rsidRPr="00E211CD">
        <w:rPr>
          <w:rFonts w:cs="Arial"/>
          <w:szCs w:val="24"/>
        </w:rPr>
        <w:t>Difficulties in recruitment over time – support coordinators and planners</w:t>
      </w:r>
      <w:bookmarkEnd w:id="102"/>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7 Difficulties in recruitment over time – support coordinators and planners"/>
        <w:tblDescription w:val="A table showing the difficulties in the recruitment of support coordinators and planners in the sector over time. Trend data from 2020 to 2024."/>
      </w:tblPr>
      <w:tblGrid>
        <w:gridCol w:w="2260"/>
        <w:gridCol w:w="1276"/>
        <w:gridCol w:w="1276"/>
        <w:gridCol w:w="1417"/>
        <w:gridCol w:w="1421"/>
        <w:gridCol w:w="1360"/>
      </w:tblGrid>
      <w:tr w:rsidR="005C523B" w:rsidRPr="005C2A0E" w14:paraId="311B7285" w14:textId="77777777" w:rsidTr="00E211CD">
        <w:trPr>
          <w:trHeight w:val="300"/>
          <w:tblHeader/>
        </w:trPr>
        <w:tc>
          <w:tcPr>
            <w:tcW w:w="226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06F7B13" w14:textId="77777777" w:rsidR="005C523B" w:rsidRPr="005C2A0E" w:rsidRDefault="005C523B" w:rsidP="005C2A0E">
            <w:pPr>
              <w:rPr>
                <w:b/>
                <w:bCs/>
              </w:rPr>
            </w:pPr>
            <w:bookmarkStart w:id="103" w:name="Title_Table_27"/>
            <w:bookmarkStart w:id="104" w:name="_Hlk184202825"/>
            <w:bookmarkEnd w:id="103"/>
            <w:r w:rsidRPr="005C2A0E">
              <w:rPr>
                <w:b/>
                <w:bCs/>
              </w:rPr>
              <w:t>Occupational group</w:t>
            </w:r>
          </w:p>
        </w:tc>
        <w:tc>
          <w:tcPr>
            <w:tcW w:w="1276"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FD1493D" w14:textId="77777777" w:rsidR="005C523B" w:rsidRPr="005C2A0E" w:rsidRDefault="005C523B" w:rsidP="005C2A0E">
            <w:pPr>
              <w:rPr>
                <w:b/>
                <w:bCs/>
              </w:rPr>
            </w:pPr>
            <w:r w:rsidRPr="005C2A0E">
              <w:rPr>
                <w:b/>
                <w:bCs/>
              </w:rPr>
              <w:t>2020</w:t>
            </w:r>
          </w:p>
        </w:tc>
        <w:tc>
          <w:tcPr>
            <w:tcW w:w="1276"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AF391FD" w14:textId="77777777" w:rsidR="005C523B" w:rsidRPr="005C2A0E" w:rsidRDefault="005C523B" w:rsidP="005C2A0E">
            <w:pPr>
              <w:rPr>
                <w:b/>
                <w:bCs/>
              </w:rPr>
            </w:pPr>
            <w:r w:rsidRPr="005C2A0E">
              <w:rPr>
                <w:b/>
                <w:bCs/>
              </w:rPr>
              <w:t>2021</w:t>
            </w:r>
          </w:p>
        </w:tc>
        <w:tc>
          <w:tcPr>
            <w:tcW w:w="1417"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D345A45" w14:textId="77777777" w:rsidR="005C523B" w:rsidRPr="005C2A0E" w:rsidRDefault="005C523B" w:rsidP="005C2A0E">
            <w:pPr>
              <w:rPr>
                <w:b/>
                <w:bCs/>
              </w:rPr>
            </w:pPr>
            <w:r w:rsidRPr="005C2A0E">
              <w:rPr>
                <w:b/>
                <w:bCs/>
              </w:rPr>
              <w:t>2022</w:t>
            </w:r>
          </w:p>
        </w:tc>
        <w:tc>
          <w:tcPr>
            <w:tcW w:w="1421"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3C77EE38" w14:textId="77777777" w:rsidR="005C523B" w:rsidRPr="005C2A0E" w:rsidRDefault="005C523B" w:rsidP="005C2A0E">
            <w:pPr>
              <w:rPr>
                <w:b/>
                <w:bCs/>
              </w:rPr>
            </w:pPr>
            <w:r w:rsidRPr="005C2A0E">
              <w:rPr>
                <w:b/>
                <w:bCs/>
              </w:rPr>
              <w:t>2023</w:t>
            </w:r>
          </w:p>
        </w:tc>
        <w:tc>
          <w:tcPr>
            <w:tcW w:w="136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FFABC6C" w14:textId="77777777" w:rsidR="005C523B" w:rsidRPr="005C2A0E" w:rsidRDefault="005C523B" w:rsidP="005C2A0E">
            <w:pPr>
              <w:rPr>
                <w:b/>
                <w:bCs/>
              </w:rPr>
            </w:pPr>
            <w:r w:rsidRPr="005C2A0E">
              <w:rPr>
                <w:b/>
                <w:bCs/>
              </w:rPr>
              <w:t>2024</w:t>
            </w:r>
          </w:p>
        </w:tc>
      </w:tr>
      <w:tr w:rsidR="005C523B" w:rsidRPr="00CE5F61" w14:paraId="1FFF7BBF"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50538C1" w14:textId="77777777" w:rsidR="005C523B" w:rsidRPr="00CE5F61" w:rsidRDefault="005C523B" w:rsidP="005C2A0E">
            <w:r w:rsidRPr="00CE5F61">
              <w:t>Plan Manager</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45EEED3" w14:textId="77777777" w:rsidR="005C523B" w:rsidRPr="00CE5F61" w:rsidRDefault="005C523B" w:rsidP="005C2A0E">
            <w:r w:rsidRPr="00CE5F61">
              <w:t>Not reported</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8FCDCA9" w14:textId="77777777" w:rsidR="005C523B" w:rsidRPr="00CE5F61" w:rsidRDefault="005C523B" w:rsidP="005C2A0E">
            <w:r w:rsidRPr="00CE5F61">
              <w:t>Not reported</w:t>
            </w:r>
          </w:p>
        </w:tc>
        <w:tc>
          <w:tcPr>
            <w:tcW w:w="141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7AA0839" w14:textId="77777777" w:rsidR="005C523B" w:rsidRPr="00CE5F61" w:rsidRDefault="005C523B" w:rsidP="005C2A0E">
            <w:r w:rsidRPr="00CE5F61">
              <w:t>41 per cent</w:t>
            </w:r>
          </w:p>
        </w:tc>
        <w:tc>
          <w:tcPr>
            <w:tcW w:w="142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10A61D4" w14:textId="77777777" w:rsidR="005C523B" w:rsidRPr="00CE5F61" w:rsidRDefault="005C523B" w:rsidP="005C2A0E">
            <w:r w:rsidRPr="00CE5F61">
              <w:t>34 per cent</w:t>
            </w:r>
          </w:p>
        </w:tc>
        <w:tc>
          <w:tcPr>
            <w:tcW w:w="13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657C3CD" w14:textId="77777777" w:rsidR="005C523B" w:rsidRPr="00CE5F61" w:rsidRDefault="005C523B" w:rsidP="005C2A0E">
            <w:r w:rsidRPr="00CE5F61">
              <w:t>25 per cent</w:t>
            </w:r>
          </w:p>
        </w:tc>
      </w:tr>
      <w:tr w:rsidR="005C523B" w:rsidRPr="00CE5F61" w14:paraId="5F886C34"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73B13FF" w14:textId="77777777" w:rsidR="005C523B" w:rsidRPr="00CE5F61" w:rsidRDefault="005C523B" w:rsidP="005C2A0E">
            <w:r w:rsidRPr="00CE5F61">
              <w:t>LAC/Planner</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07AEDAA" w14:textId="77777777" w:rsidR="005C523B" w:rsidRPr="00CE5F61" w:rsidRDefault="005C523B" w:rsidP="005C2A0E">
            <w:r w:rsidRPr="00CE5F61">
              <w:t>44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6FC45F0" w14:textId="77777777" w:rsidR="005C523B" w:rsidRPr="00CE5F61" w:rsidRDefault="005C523B" w:rsidP="005C2A0E">
            <w:r w:rsidRPr="00CE5F61">
              <w:t>48 per cent</w:t>
            </w:r>
          </w:p>
        </w:tc>
        <w:tc>
          <w:tcPr>
            <w:tcW w:w="141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713BDFD" w14:textId="77777777" w:rsidR="005C523B" w:rsidRPr="00CE5F61" w:rsidRDefault="005C523B" w:rsidP="005C2A0E">
            <w:r w:rsidRPr="00CE5F61">
              <w:t>50 per cent</w:t>
            </w:r>
          </w:p>
        </w:tc>
        <w:tc>
          <w:tcPr>
            <w:tcW w:w="142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B6C566D" w14:textId="77777777" w:rsidR="005C523B" w:rsidRPr="00CE5F61" w:rsidRDefault="005C523B" w:rsidP="005C2A0E">
            <w:r w:rsidRPr="00CE5F61">
              <w:t>60 per cent</w:t>
            </w:r>
          </w:p>
        </w:tc>
        <w:tc>
          <w:tcPr>
            <w:tcW w:w="13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63C39F6" w14:textId="77777777" w:rsidR="005C523B" w:rsidRPr="00CE5F61" w:rsidRDefault="005C523B" w:rsidP="005C2A0E">
            <w:r w:rsidRPr="00CE5F61">
              <w:t>50 per cent</w:t>
            </w:r>
          </w:p>
        </w:tc>
      </w:tr>
      <w:tr w:rsidR="005C523B" w:rsidRPr="00CE5F61" w14:paraId="4F4BD2CB"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FABFEEE" w14:textId="77777777" w:rsidR="005C523B" w:rsidRPr="00CE5F61" w:rsidRDefault="005C523B" w:rsidP="005C2A0E">
            <w:r w:rsidRPr="00CE5F61">
              <w:lastRenderedPageBreak/>
              <w:t>Support Coordinator</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45FA37C" w14:textId="77777777" w:rsidR="005C523B" w:rsidRPr="00CE5F61" w:rsidRDefault="005C523B" w:rsidP="005C2A0E">
            <w:r w:rsidRPr="00CE5F61">
              <w:t>53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40FC0A2" w14:textId="77777777" w:rsidR="005C523B" w:rsidRPr="00CE5F61" w:rsidRDefault="005C523B" w:rsidP="005C2A0E">
            <w:r w:rsidRPr="00CE5F61">
              <w:t>65 per cent</w:t>
            </w:r>
          </w:p>
        </w:tc>
        <w:tc>
          <w:tcPr>
            <w:tcW w:w="141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B5DF8F8" w14:textId="77777777" w:rsidR="005C523B" w:rsidRPr="00CE5F61" w:rsidRDefault="005C523B" w:rsidP="005C2A0E">
            <w:r w:rsidRPr="00CE5F61">
              <w:t>64 per cent</w:t>
            </w:r>
          </w:p>
        </w:tc>
        <w:tc>
          <w:tcPr>
            <w:tcW w:w="142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F250E24" w14:textId="77777777" w:rsidR="005C523B" w:rsidRPr="00CE5F61" w:rsidRDefault="005C523B" w:rsidP="005C2A0E">
            <w:r w:rsidRPr="00CE5F61">
              <w:t>60 per cent</w:t>
            </w:r>
          </w:p>
        </w:tc>
        <w:tc>
          <w:tcPr>
            <w:tcW w:w="13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B9C894B" w14:textId="77777777" w:rsidR="005C523B" w:rsidRPr="00CE5F61" w:rsidRDefault="005C523B" w:rsidP="005C2A0E">
            <w:r w:rsidRPr="00CE5F61">
              <w:t>54 per cent</w:t>
            </w:r>
          </w:p>
        </w:tc>
      </w:tr>
    </w:tbl>
    <w:p w14:paraId="7DD9E5B9" w14:textId="6F44597E" w:rsidR="007E78C3" w:rsidRDefault="007E78C3" w:rsidP="007E78C3">
      <w:pPr>
        <w:pStyle w:val="Caption"/>
      </w:pPr>
      <w:bookmarkStart w:id="105" w:name="_Ref184222236"/>
      <w:bookmarkEnd w:id="104"/>
      <w:r w:rsidRPr="001A77F7">
        <w:rPr>
          <w:b/>
          <w:bCs/>
        </w:rPr>
        <w:t>Table </w:t>
      </w:r>
      <w:r w:rsidRPr="001A77F7">
        <w:rPr>
          <w:b/>
          <w:bCs/>
        </w:rPr>
        <w:fldChar w:fldCharType="begin"/>
      </w:r>
      <w:r w:rsidRPr="001A77F7">
        <w:rPr>
          <w:b/>
          <w:bCs/>
        </w:rPr>
        <w:instrText xml:space="preserve"> SEQ Table \* ARABIC </w:instrText>
      </w:r>
      <w:r w:rsidRPr="001A77F7">
        <w:rPr>
          <w:b/>
          <w:bCs/>
        </w:rPr>
        <w:fldChar w:fldCharType="separate"/>
      </w:r>
      <w:r w:rsidR="00DC68AF">
        <w:rPr>
          <w:b/>
          <w:bCs/>
          <w:noProof/>
        </w:rPr>
        <w:t>28</w:t>
      </w:r>
      <w:r w:rsidRPr="001A77F7">
        <w:rPr>
          <w:b/>
          <w:bCs/>
          <w:noProof/>
        </w:rPr>
        <w:fldChar w:fldCharType="end"/>
      </w:r>
      <w:bookmarkEnd w:id="101"/>
      <w:bookmarkEnd w:id="105"/>
      <w:r w:rsidRPr="004C7798">
        <w:t xml:space="preserve"> </w:t>
      </w:r>
      <w:bookmarkStart w:id="106" w:name="_Hlk184204617"/>
      <w:r w:rsidRPr="00E2130B">
        <w:rPr>
          <w:rFonts w:cs="Arial"/>
          <w:szCs w:val="24"/>
        </w:rPr>
        <w:t>Difficulties in recruitment over time – administration/back office</w:t>
      </w:r>
      <w:bookmarkEnd w:id="106"/>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8 Difficulties in recruitment over time – administration/back office"/>
        <w:tblDescription w:val="A table showing the difficulties in the recruitment of administration/back office in the sector over time. Trend data from 2020 to 2024."/>
      </w:tblPr>
      <w:tblGrid>
        <w:gridCol w:w="2335"/>
        <w:gridCol w:w="1401"/>
        <w:gridCol w:w="1263"/>
        <w:gridCol w:w="1262"/>
        <w:gridCol w:w="1402"/>
        <w:gridCol w:w="1347"/>
      </w:tblGrid>
      <w:tr w:rsidR="005C523B" w:rsidRPr="005C2A0E" w14:paraId="71252A19" w14:textId="77777777" w:rsidTr="00E211CD">
        <w:trPr>
          <w:trHeight w:val="300"/>
          <w:tblHeader/>
        </w:trPr>
        <w:tc>
          <w:tcPr>
            <w:tcW w:w="226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493D15B" w14:textId="77777777" w:rsidR="005C523B" w:rsidRPr="005C2A0E" w:rsidRDefault="005C523B" w:rsidP="005C2A0E">
            <w:pPr>
              <w:rPr>
                <w:b/>
                <w:bCs/>
              </w:rPr>
            </w:pPr>
            <w:bookmarkStart w:id="107" w:name="Title_Table_28"/>
            <w:bookmarkEnd w:id="107"/>
            <w:r w:rsidRPr="005C2A0E">
              <w:rPr>
                <w:b/>
                <w:bCs/>
              </w:rPr>
              <w:t>Occupational group</w:t>
            </w:r>
          </w:p>
        </w:tc>
        <w:tc>
          <w:tcPr>
            <w:tcW w:w="1418"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5D36E17" w14:textId="77777777" w:rsidR="005C523B" w:rsidRPr="005C2A0E" w:rsidRDefault="005C523B" w:rsidP="005C2A0E">
            <w:pPr>
              <w:rPr>
                <w:b/>
                <w:bCs/>
              </w:rPr>
            </w:pPr>
            <w:r w:rsidRPr="005C2A0E">
              <w:rPr>
                <w:b/>
                <w:bCs/>
              </w:rPr>
              <w:t>2020</w:t>
            </w:r>
          </w:p>
        </w:tc>
        <w:tc>
          <w:tcPr>
            <w:tcW w:w="1276"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B3366FC" w14:textId="77777777" w:rsidR="005C523B" w:rsidRPr="005C2A0E" w:rsidRDefault="005C523B" w:rsidP="005C2A0E">
            <w:pPr>
              <w:rPr>
                <w:b/>
                <w:bCs/>
              </w:rPr>
            </w:pPr>
            <w:r w:rsidRPr="005C2A0E">
              <w:rPr>
                <w:b/>
                <w:bCs/>
              </w:rPr>
              <w:t>2021</w:t>
            </w:r>
          </w:p>
        </w:tc>
        <w:tc>
          <w:tcPr>
            <w:tcW w:w="127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E02AA7D" w14:textId="77777777" w:rsidR="005C523B" w:rsidRPr="005C2A0E" w:rsidRDefault="005C523B" w:rsidP="005C2A0E">
            <w:pPr>
              <w:rPr>
                <w:b/>
                <w:bCs/>
              </w:rPr>
            </w:pPr>
            <w:r w:rsidRPr="005C2A0E">
              <w:rPr>
                <w:b/>
                <w:bCs/>
              </w:rPr>
              <w:t>2022</w:t>
            </w:r>
          </w:p>
        </w:tc>
        <w:tc>
          <w:tcPr>
            <w:tcW w:w="1419"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17534831" w14:textId="77777777" w:rsidR="005C523B" w:rsidRPr="005C2A0E" w:rsidRDefault="005C523B" w:rsidP="005C2A0E">
            <w:pPr>
              <w:rPr>
                <w:b/>
                <w:bCs/>
              </w:rPr>
            </w:pPr>
            <w:r w:rsidRPr="005C2A0E">
              <w:rPr>
                <w:b/>
                <w:bCs/>
              </w:rPr>
              <w:t>2023</w:t>
            </w:r>
          </w:p>
        </w:tc>
        <w:tc>
          <w:tcPr>
            <w:tcW w:w="1362"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1053DEA" w14:textId="77777777" w:rsidR="005C523B" w:rsidRPr="005C2A0E" w:rsidRDefault="005C523B" w:rsidP="005C2A0E">
            <w:pPr>
              <w:rPr>
                <w:b/>
                <w:bCs/>
              </w:rPr>
            </w:pPr>
            <w:r w:rsidRPr="005C2A0E">
              <w:rPr>
                <w:b/>
                <w:bCs/>
              </w:rPr>
              <w:t>2024</w:t>
            </w:r>
          </w:p>
        </w:tc>
      </w:tr>
      <w:tr w:rsidR="005C523B" w:rsidRPr="00CE5F61" w14:paraId="1E30A65A"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9CCF718" w14:textId="77777777" w:rsidR="005C523B" w:rsidRPr="00CE5F61" w:rsidRDefault="005C523B" w:rsidP="005C2A0E">
            <w:r w:rsidRPr="00CE5F61">
              <w:t>Information Technology</w:t>
            </w:r>
          </w:p>
        </w:tc>
        <w:tc>
          <w:tcPr>
            <w:tcW w:w="141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73030DC" w14:textId="77777777" w:rsidR="005C523B" w:rsidRPr="00CE5F61" w:rsidRDefault="005C523B" w:rsidP="005C2A0E">
            <w:r w:rsidRPr="00CE5F61">
              <w:t>28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ECF12EE" w14:textId="77777777" w:rsidR="005C523B" w:rsidRPr="00CE5F61" w:rsidRDefault="005C523B" w:rsidP="005C2A0E">
            <w:r w:rsidRPr="00CE5F61">
              <w:t>40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9161857" w14:textId="77777777" w:rsidR="005C523B" w:rsidRPr="00CE5F61" w:rsidRDefault="005C523B" w:rsidP="005C2A0E">
            <w:r w:rsidRPr="00CE5F61">
              <w:t>55 per cent</w:t>
            </w:r>
          </w:p>
        </w:tc>
        <w:tc>
          <w:tcPr>
            <w:tcW w:w="141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FB0A050" w14:textId="77777777" w:rsidR="005C523B" w:rsidRPr="00CE5F61" w:rsidRDefault="005C523B" w:rsidP="005C2A0E">
            <w:r w:rsidRPr="00CE5F61">
              <w:t>48 per cent</w:t>
            </w:r>
          </w:p>
        </w:tc>
        <w:tc>
          <w:tcPr>
            <w:tcW w:w="136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6030DAD" w14:textId="77777777" w:rsidR="005C523B" w:rsidRPr="00CE5F61" w:rsidRDefault="005C523B" w:rsidP="005C2A0E">
            <w:r w:rsidRPr="00CE5F61">
              <w:t>34 per cent</w:t>
            </w:r>
          </w:p>
        </w:tc>
      </w:tr>
      <w:tr w:rsidR="005C523B" w:rsidRPr="00CE5F61" w14:paraId="0D33CCEE"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B6A91E0" w14:textId="77777777" w:rsidR="005C523B" w:rsidRPr="00CE5F61" w:rsidRDefault="005C523B" w:rsidP="005C2A0E">
            <w:r w:rsidRPr="00CE5F61">
              <w:t>Marketing/business development</w:t>
            </w:r>
          </w:p>
        </w:tc>
        <w:tc>
          <w:tcPr>
            <w:tcW w:w="141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26B2DA5" w14:textId="77777777" w:rsidR="005C523B" w:rsidRPr="00CE5F61" w:rsidRDefault="005C523B" w:rsidP="005C2A0E">
            <w:r w:rsidRPr="00CE5F61">
              <w:t>34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4C2E2AA" w14:textId="77777777" w:rsidR="005C523B" w:rsidRPr="00CE5F61" w:rsidRDefault="005C523B" w:rsidP="005C2A0E">
            <w:r w:rsidRPr="00CE5F61">
              <w:t>44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37E77C9" w14:textId="77777777" w:rsidR="005C523B" w:rsidRPr="00CE5F61" w:rsidRDefault="005C523B" w:rsidP="005C2A0E">
            <w:r w:rsidRPr="00CE5F61">
              <w:t>53 per cent</w:t>
            </w:r>
          </w:p>
        </w:tc>
        <w:tc>
          <w:tcPr>
            <w:tcW w:w="141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5C646BD" w14:textId="77777777" w:rsidR="005C523B" w:rsidRPr="00CE5F61" w:rsidRDefault="005C523B" w:rsidP="005C2A0E">
            <w:r w:rsidRPr="00CE5F61">
              <w:t>53 per cent</w:t>
            </w:r>
          </w:p>
        </w:tc>
        <w:tc>
          <w:tcPr>
            <w:tcW w:w="136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294B014" w14:textId="77777777" w:rsidR="005C523B" w:rsidRPr="00CE5F61" w:rsidRDefault="005C523B" w:rsidP="005C2A0E">
            <w:r w:rsidRPr="00CE5F61">
              <w:t>35 per cent</w:t>
            </w:r>
          </w:p>
        </w:tc>
      </w:tr>
      <w:tr w:rsidR="005C523B" w:rsidRPr="00CE5F61" w14:paraId="422AC4E7"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7497BE3" w14:textId="77777777" w:rsidR="005C523B" w:rsidRPr="00CE5F61" w:rsidRDefault="005C523B" w:rsidP="005C2A0E">
            <w:r w:rsidRPr="00CE5F61">
              <w:t>Finance/Accounting</w:t>
            </w:r>
          </w:p>
        </w:tc>
        <w:tc>
          <w:tcPr>
            <w:tcW w:w="141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9227A7E" w14:textId="77777777" w:rsidR="005C523B" w:rsidRPr="00CE5F61" w:rsidRDefault="005C523B" w:rsidP="005C2A0E">
            <w:r w:rsidRPr="00CE5F61">
              <w:t>25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AC23B78" w14:textId="77777777" w:rsidR="005C523B" w:rsidRPr="00CE5F61" w:rsidRDefault="005C523B" w:rsidP="005C2A0E">
            <w:r w:rsidRPr="00CE5F61">
              <w:t>38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87042A2" w14:textId="77777777" w:rsidR="005C523B" w:rsidRPr="00CE5F61" w:rsidRDefault="005C523B" w:rsidP="005C2A0E">
            <w:r w:rsidRPr="00CE5F61">
              <w:t>57 per cent</w:t>
            </w:r>
          </w:p>
        </w:tc>
        <w:tc>
          <w:tcPr>
            <w:tcW w:w="141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5B92B1A" w14:textId="77777777" w:rsidR="005C523B" w:rsidRPr="00CE5F61" w:rsidRDefault="005C523B" w:rsidP="005C2A0E">
            <w:r w:rsidRPr="00CE5F61">
              <w:t>50 per cent</w:t>
            </w:r>
          </w:p>
        </w:tc>
        <w:tc>
          <w:tcPr>
            <w:tcW w:w="136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BB74DA6" w14:textId="77777777" w:rsidR="005C523B" w:rsidRPr="00CE5F61" w:rsidRDefault="005C523B" w:rsidP="005C2A0E">
            <w:r w:rsidRPr="00CE5F61">
              <w:t>36 per cent</w:t>
            </w:r>
          </w:p>
        </w:tc>
      </w:tr>
      <w:tr w:rsidR="005C523B" w:rsidRPr="00CE5F61" w14:paraId="5B8AE3BC" w14:textId="77777777" w:rsidTr="00726F1E">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DD0A576" w14:textId="77777777" w:rsidR="005C523B" w:rsidRPr="00CE5F61" w:rsidRDefault="005C523B" w:rsidP="005C2A0E">
            <w:r w:rsidRPr="00CE5F61">
              <w:t>HR/Workforce Development</w:t>
            </w:r>
          </w:p>
        </w:tc>
        <w:tc>
          <w:tcPr>
            <w:tcW w:w="141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8688E03" w14:textId="77777777" w:rsidR="005C523B" w:rsidRPr="00CE5F61" w:rsidRDefault="005C523B" w:rsidP="005C2A0E">
            <w:r w:rsidRPr="00CE5F61">
              <w:t>33 per cent</w:t>
            </w:r>
          </w:p>
        </w:tc>
        <w:tc>
          <w:tcPr>
            <w:tcW w:w="127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E1CE387" w14:textId="77777777" w:rsidR="005C523B" w:rsidRPr="00CE5F61" w:rsidRDefault="005C523B" w:rsidP="005C2A0E">
            <w:r w:rsidRPr="00CE5F61">
              <w:t>45 per cent</w:t>
            </w:r>
          </w:p>
        </w:tc>
        <w:tc>
          <w:tcPr>
            <w:tcW w:w="127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5519519" w14:textId="77777777" w:rsidR="005C523B" w:rsidRPr="00CE5F61" w:rsidRDefault="005C523B" w:rsidP="005C2A0E">
            <w:r w:rsidRPr="00CE5F61">
              <w:t>63 per cent</w:t>
            </w:r>
          </w:p>
        </w:tc>
        <w:tc>
          <w:tcPr>
            <w:tcW w:w="1419"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5D1BF05" w14:textId="77777777" w:rsidR="005C523B" w:rsidRPr="00CE5F61" w:rsidRDefault="005C523B" w:rsidP="005C2A0E">
            <w:r w:rsidRPr="00CE5F61">
              <w:t>55 per cent</w:t>
            </w:r>
          </w:p>
        </w:tc>
        <w:tc>
          <w:tcPr>
            <w:tcW w:w="136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A99DB9C" w14:textId="77777777" w:rsidR="005C523B" w:rsidRPr="00CE5F61" w:rsidRDefault="005C523B" w:rsidP="005C2A0E">
            <w:r w:rsidRPr="00CE5F61">
              <w:t>48 per cent</w:t>
            </w:r>
          </w:p>
        </w:tc>
      </w:tr>
    </w:tbl>
    <w:p w14:paraId="1BBB40A9" w14:textId="2F163068" w:rsidR="004316F3" w:rsidRDefault="05B79D20" w:rsidP="00321644">
      <w:pPr>
        <w:spacing w:before="360"/>
      </w:pPr>
      <w:r w:rsidRPr="6AD0082D">
        <w:t>Among narrative responses about the key challenges services face in recruiting staff, respondents popularly reported a lack of qualified or suitable staff:</w:t>
      </w:r>
    </w:p>
    <w:p w14:paraId="5E82B9E2" w14:textId="2928C285" w:rsidR="05B79D20" w:rsidRDefault="05B79D20" w:rsidP="009F0480">
      <w:pPr>
        <w:pStyle w:val="Quote"/>
      </w:pPr>
      <w:r w:rsidRPr="6AD0082D">
        <w:t>“Finding candidates with the necessary qualifications and experience, especially for roles requiring specific certifications or extensive experience.”</w:t>
      </w:r>
    </w:p>
    <w:p w14:paraId="620AC077" w14:textId="77777777" w:rsidR="004316F3" w:rsidRDefault="05B79D20" w:rsidP="009F0480">
      <w:pPr>
        <w:pStyle w:val="QuoteAuthor"/>
      </w:pPr>
      <w:r w:rsidRPr="6AD0082D">
        <w:t>NSW very small for-profit</w:t>
      </w:r>
    </w:p>
    <w:p w14:paraId="297E0C22" w14:textId="79AC4CC9" w:rsidR="05B79D20" w:rsidRDefault="05B79D20" w:rsidP="009F0480">
      <w:pPr>
        <w:pStyle w:val="Quote"/>
      </w:pPr>
      <w:r w:rsidRPr="6AD0082D">
        <w:t>“Quality staff are hard to find.”</w:t>
      </w:r>
    </w:p>
    <w:p w14:paraId="304575D9" w14:textId="77777777" w:rsidR="004316F3" w:rsidRDefault="26DF685A" w:rsidP="009F0480">
      <w:pPr>
        <w:pStyle w:val="QuoteAuthor"/>
      </w:pPr>
      <w:r w:rsidRPr="6766CE18">
        <w:t>Qld</w:t>
      </w:r>
      <w:r w:rsidR="05B79D20" w:rsidRPr="6AD0082D">
        <w:t xml:space="preserve"> small not-for-profit</w:t>
      </w:r>
    </w:p>
    <w:p w14:paraId="10E278B3" w14:textId="51868266" w:rsidR="05B79D20" w:rsidRDefault="05B79D20" w:rsidP="009F0480">
      <w:pPr>
        <w:pStyle w:val="Quote"/>
      </w:pPr>
      <w:r w:rsidRPr="6AD0082D">
        <w:t>“Qualified and talented staff are in short supply.”</w:t>
      </w:r>
    </w:p>
    <w:p w14:paraId="2B524B44" w14:textId="77777777" w:rsidR="004316F3" w:rsidRDefault="05B79D20" w:rsidP="009F0480">
      <w:pPr>
        <w:pStyle w:val="QuoteAuthor"/>
      </w:pPr>
      <w:r w:rsidRPr="6766CE18">
        <w:t>V</w:t>
      </w:r>
      <w:r w:rsidR="53806005" w:rsidRPr="6766CE18">
        <w:t>ic</w:t>
      </w:r>
      <w:r w:rsidRPr="6AD0082D">
        <w:t xml:space="preserve"> very small for-profit</w:t>
      </w:r>
    </w:p>
    <w:p w14:paraId="3408CCAC" w14:textId="73C6C3CB" w:rsidR="05B79D20" w:rsidRDefault="05B79D20" w:rsidP="009F0480">
      <w:pPr>
        <w:pStyle w:val="Quote"/>
      </w:pPr>
      <w:r w:rsidRPr="6AD0082D">
        <w:t>“Finding qualified, skilled and committed disability support workers who take the role as a career.”</w:t>
      </w:r>
    </w:p>
    <w:p w14:paraId="17B32E46" w14:textId="77777777" w:rsidR="004316F3" w:rsidRDefault="05B79D20" w:rsidP="009F0480">
      <w:pPr>
        <w:pStyle w:val="QuoteAuthor"/>
      </w:pPr>
      <w:r w:rsidRPr="6AD0082D">
        <w:lastRenderedPageBreak/>
        <w:t>WA medium for-profit</w:t>
      </w:r>
    </w:p>
    <w:p w14:paraId="392A4C7C" w14:textId="0F1E47BF" w:rsidR="004316F3" w:rsidRDefault="05B79D20" w:rsidP="0097062A">
      <w:r w:rsidRPr="6AD0082D">
        <w:t>Many respondents described competition from other sectors as a challenge to recruiting staff:</w:t>
      </w:r>
    </w:p>
    <w:p w14:paraId="6D662DDE" w14:textId="3E17FBF9" w:rsidR="05B79D20" w:rsidRDefault="05B79D20" w:rsidP="009F0480">
      <w:pPr>
        <w:pStyle w:val="Quote"/>
      </w:pPr>
      <w:r w:rsidRPr="6AD0082D">
        <w:t>“If a potential worker is paid higher wages in other sectors, like aged care, why would they want to work in the disability sector?”</w:t>
      </w:r>
    </w:p>
    <w:p w14:paraId="1DA2BE73" w14:textId="77777777" w:rsidR="004316F3" w:rsidRDefault="05B79D20" w:rsidP="009F0480">
      <w:pPr>
        <w:pStyle w:val="QuoteAuthor"/>
      </w:pPr>
      <w:r w:rsidRPr="6766CE18">
        <w:t>V</w:t>
      </w:r>
      <w:r w:rsidR="6F44A2D1" w:rsidRPr="6766CE18">
        <w:t>ic</w:t>
      </w:r>
      <w:r w:rsidRPr="6AD0082D">
        <w:t xml:space="preserve"> medium not-for-profit</w:t>
      </w:r>
    </w:p>
    <w:p w14:paraId="74A39EE9" w14:textId="5002FCA2" w:rsidR="05B79D20" w:rsidRDefault="05B79D20" w:rsidP="009F0480">
      <w:pPr>
        <w:pStyle w:val="Quote"/>
      </w:pPr>
      <w:r w:rsidRPr="6AD0082D">
        <w:t>“Competitive job market: intense competition for skilled professionals.”</w:t>
      </w:r>
    </w:p>
    <w:p w14:paraId="184BD8F0" w14:textId="77777777" w:rsidR="004316F3" w:rsidRDefault="05B79D20" w:rsidP="009F0480">
      <w:pPr>
        <w:pStyle w:val="QuoteAuthor"/>
      </w:pPr>
      <w:r w:rsidRPr="6AD0082D">
        <w:t>NSW very small for-profit</w:t>
      </w:r>
    </w:p>
    <w:p w14:paraId="7BF0DD34" w14:textId="07711553" w:rsidR="05B79D20" w:rsidRDefault="05B79D20" w:rsidP="009F0480">
      <w:pPr>
        <w:pStyle w:val="Quote"/>
      </w:pPr>
      <w:r w:rsidRPr="356CA766">
        <w:t>“Too much competition by gov</w:t>
      </w:r>
      <w:r w:rsidR="0C1609FF" w:rsidRPr="356CA766">
        <w:t>ernment</w:t>
      </w:r>
      <w:r w:rsidRPr="356CA766">
        <w:t>.”</w:t>
      </w:r>
    </w:p>
    <w:p w14:paraId="6F25E4A7" w14:textId="77777777" w:rsidR="004316F3" w:rsidRDefault="05B79D20" w:rsidP="009F0480">
      <w:pPr>
        <w:pStyle w:val="QuoteAuthor"/>
      </w:pPr>
      <w:r w:rsidRPr="6AD0082D">
        <w:t>SA very small for-profit</w:t>
      </w:r>
    </w:p>
    <w:p w14:paraId="4E908A7E" w14:textId="30CE231D" w:rsidR="05B79D20" w:rsidRDefault="05B79D20" w:rsidP="009F0480">
      <w:pPr>
        <w:pStyle w:val="Quote"/>
      </w:pPr>
      <w:r w:rsidRPr="6AD0082D">
        <w:rPr>
          <w:i/>
          <w:iCs/>
        </w:rPr>
        <w:t>“</w:t>
      </w:r>
      <w:r w:rsidRPr="6AD0082D">
        <w:t>Loss of staff to aged care (longer shifts/greater pay)</w:t>
      </w:r>
      <w:r w:rsidR="00556DCA">
        <w:t>.</w:t>
      </w:r>
      <w:r w:rsidRPr="6AD0082D">
        <w:t>”</w:t>
      </w:r>
    </w:p>
    <w:p w14:paraId="73309A36" w14:textId="77777777" w:rsidR="004316F3" w:rsidRDefault="05B79D20" w:rsidP="009F0480">
      <w:pPr>
        <w:pStyle w:val="QuoteAuthor"/>
      </w:pPr>
      <w:r w:rsidRPr="6766CE18">
        <w:t>V</w:t>
      </w:r>
      <w:r w:rsidR="0C8A0E4B" w:rsidRPr="6766CE18">
        <w:t>ic</w:t>
      </w:r>
      <w:r w:rsidRPr="6AD0082D">
        <w:t xml:space="preserve"> medium not-for-profit</w:t>
      </w:r>
    </w:p>
    <w:p w14:paraId="47DEDFDE" w14:textId="77777777" w:rsidR="004316F3" w:rsidRDefault="05B79D20" w:rsidP="0097062A">
      <w:pPr>
        <w:rPr>
          <w:color w:val="000000" w:themeColor="text1"/>
        </w:rPr>
      </w:pPr>
      <w:r>
        <w:t>Several respondents raised challenges of scarcity of accommodation and perceptions of safety risks in rural and regional areas, pay expectations</w:t>
      </w:r>
      <w:r w:rsidR="00556DCA">
        <w:t>,</w:t>
      </w:r>
      <w:r>
        <w:t xml:space="preserve"> rates cannot compete with other sectors, and NDIS pricing limits:</w:t>
      </w:r>
    </w:p>
    <w:p w14:paraId="5A806C45" w14:textId="2A98ED93" w:rsidR="05B79D20" w:rsidRDefault="05B79D20" w:rsidP="009F0480">
      <w:pPr>
        <w:pStyle w:val="Quote"/>
      </w:pPr>
      <w:r w:rsidRPr="6AD0082D">
        <w:t>“Access to rental housing when they move to a regional area. Difficult to find and expensive.”</w:t>
      </w:r>
    </w:p>
    <w:p w14:paraId="2C17340B" w14:textId="77777777" w:rsidR="004316F3" w:rsidRDefault="05B79D20" w:rsidP="009F0480">
      <w:pPr>
        <w:pStyle w:val="QuoteAuthor"/>
      </w:pPr>
      <w:r w:rsidRPr="6AD0082D">
        <w:t>WA large not-for-profit</w:t>
      </w:r>
    </w:p>
    <w:p w14:paraId="62A9B0DA" w14:textId="4CEE5AF7" w:rsidR="05B79D20" w:rsidRDefault="05B79D20" w:rsidP="009F0480">
      <w:pPr>
        <w:pStyle w:val="Quote"/>
      </w:pPr>
      <w:r w:rsidRPr="6AD0082D">
        <w:t xml:space="preserve">“Location of the role in </w:t>
      </w:r>
      <w:r w:rsidR="00556DCA" w:rsidRPr="4E939A72">
        <w:t>[</w:t>
      </w:r>
      <w:r w:rsidRPr="6AD0082D">
        <w:t>town in the Northern Territory</w:t>
      </w:r>
      <w:r w:rsidR="00556DCA" w:rsidRPr="4E939A72">
        <w:t>]</w:t>
      </w:r>
      <w:r w:rsidRPr="6AD0082D">
        <w:t xml:space="preserve"> </w:t>
      </w:r>
      <w:r w:rsidR="00546D12">
        <w:t>–</w:t>
      </w:r>
      <w:r w:rsidRPr="6AD0082D">
        <w:t xml:space="preserve"> perception of high social disorder/crime and threat to personal safety.”</w:t>
      </w:r>
    </w:p>
    <w:p w14:paraId="1DA56B6E" w14:textId="77777777" w:rsidR="004316F3" w:rsidRDefault="05B79D20" w:rsidP="009F0480">
      <w:pPr>
        <w:pStyle w:val="QuoteAuthor"/>
      </w:pPr>
      <w:r w:rsidRPr="6AD0082D">
        <w:t>NT medium not-for-profit</w:t>
      </w:r>
    </w:p>
    <w:p w14:paraId="4D02B8F5" w14:textId="11344771" w:rsidR="05B79D20" w:rsidRDefault="05B79D20" w:rsidP="009F0480">
      <w:pPr>
        <w:pStyle w:val="Quote"/>
      </w:pPr>
      <w:r w:rsidRPr="6AD0082D">
        <w:t>“Pay and conditions when compared to other sectors.”</w:t>
      </w:r>
    </w:p>
    <w:p w14:paraId="0999A1EF" w14:textId="77777777" w:rsidR="004316F3" w:rsidRDefault="05B79D20" w:rsidP="009F0480">
      <w:pPr>
        <w:pStyle w:val="QuoteAuthor"/>
      </w:pPr>
      <w:r w:rsidRPr="6766CE18">
        <w:t>V</w:t>
      </w:r>
      <w:r w:rsidR="37C48B10" w:rsidRPr="6766CE18">
        <w:t>ic</w:t>
      </w:r>
      <w:r w:rsidRPr="6AD0082D">
        <w:t xml:space="preserve"> large not-for-profit</w:t>
      </w:r>
    </w:p>
    <w:p w14:paraId="530E04D2" w14:textId="6E172955" w:rsidR="05B79D20" w:rsidRDefault="05B79D20" w:rsidP="009F0480">
      <w:pPr>
        <w:pStyle w:val="Quote"/>
      </w:pPr>
      <w:r w:rsidRPr="6AD0082D">
        <w:t>“Workers with experience in mental health and qualifications, who will accept a SCHADS level 2 salary.”</w:t>
      </w:r>
    </w:p>
    <w:p w14:paraId="463F5C74" w14:textId="77777777" w:rsidR="004316F3" w:rsidRDefault="05B79D20" w:rsidP="009F0480">
      <w:pPr>
        <w:pStyle w:val="QuoteAuthor"/>
      </w:pPr>
      <w:r w:rsidRPr="6AD0082D">
        <w:t>SA small for-profit</w:t>
      </w:r>
    </w:p>
    <w:p w14:paraId="2FF6E334" w14:textId="65E611A2" w:rsidR="05B79D20" w:rsidRDefault="05B79D20" w:rsidP="009F0480">
      <w:pPr>
        <w:pStyle w:val="Quote"/>
      </w:pPr>
      <w:r w:rsidRPr="6AD0082D">
        <w:lastRenderedPageBreak/>
        <w:t xml:space="preserve">“Market paying over and above for support coordinators </w:t>
      </w:r>
      <w:r w:rsidRPr="6AD0082D">
        <w:rPr>
          <w:rFonts w:ascii="Segoe UI Symbol" w:eastAsia="Segoe UI Symbol" w:hAnsi="Segoe UI Symbol" w:cs="Segoe UI Symbol"/>
          <w:lang w:val="en-US"/>
        </w:rPr>
        <w:t>⏤</w:t>
      </w:r>
      <w:r w:rsidRPr="6AD0082D">
        <w:t xml:space="preserve"> unqualified low margin as NDIS price hasn't changed.”</w:t>
      </w:r>
    </w:p>
    <w:p w14:paraId="0222B650" w14:textId="77777777" w:rsidR="004316F3" w:rsidRDefault="05B79D20" w:rsidP="009F0480">
      <w:pPr>
        <w:pStyle w:val="QuoteAuthor"/>
      </w:pPr>
      <w:r w:rsidRPr="6AD0082D">
        <w:t>SA large not-for-profit</w:t>
      </w:r>
    </w:p>
    <w:p w14:paraId="35EF549B" w14:textId="07CA9780" w:rsidR="05B79D20" w:rsidRDefault="05B79D20" w:rsidP="009F0480">
      <w:pPr>
        <w:pStyle w:val="Quote"/>
      </w:pPr>
      <w:r w:rsidRPr="6AD0082D">
        <w:t xml:space="preserve">“Comparably low wages on offer due to pricing constraints </w:t>
      </w:r>
      <w:r w:rsidRPr="6AD0082D">
        <w:rPr>
          <w:rFonts w:ascii="Segoe UI Symbol" w:eastAsia="Segoe UI Symbol" w:hAnsi="Segoe UI Symbol" w:cs="Segoe UI Symbol"/>
          <w:lang w:val="en-US"/>
        </w:rPr>
        <w:t>⏤</w:t>
      </w:r>
      <w:r w:rsidRPr="6AD0082D">
        <w:rPr>
          <w:lang w:val="en-US"/>
        </w:rPr>
        <w:t xml:space="preserve"> </w:t>
      </w:r>
      <w:r w:rsidRPr="6AD0082D">
        <w:t>we cannot compete for talent with other industries.”</w:t>
      </w:r>
    </w:p>
    <w:p w14:paraId="32AAAEE6" w14:textId="77777777" w:rsidR="004316F3" w:rsidRDefault="05B79D20" w:rsidP="009F0480">
      <w:pPr>
        <w:pStyle w:val="QuoteAuthor"/>
      </w:pPr>
      <w:r w:rsidRPr="6AD0082D">
        <w:t>NSW medium not-for-profit</w:t>
      </w:r>
    </w:p>
    <w:p w14:paraId="1A806949" w14:textId="77777777" w:rsidR="004316F3" w:rsidRDefault="05B79D20" w:rsidP="0097062A">
      <w:pPr>
        <w:rPr>
          <w:color w:val="000000" w:themeColor="text1"/>
        </w:rPr>
      </w:pPr>
      <w:r>
        <w:t>A minority of respondents also mentioned lack of career pathways, a preference for casual contracts, employees not wanting shift work, and employees not wanting work stress or high workloads:</w:t>
      </w:r>
    </w:p>
    <w:p w14:paraId="5DCCF866" w14:textId="5904716E" w:rsidR="05B79D20" w:rsidRDefault="05B79D20" w:rsidP="009F0480">
      <w:pPr>
        <w:pStyle w:val="Quote"/>
      </w:pPr>
      <w:r w:rsidRPr="6AD0082D">
        <w:t>“Lack of career pathways/progression.”</w:t>
      </w:r>
    </w:p>
    <w:p w14:paraId="684FD070" w14:textId="77777777" w:rsidR="004316F3" w:rsidRDefault="05B79D20" w:rsidP="009F0480">
      <w:pPr>
        <w:pStyle w:val="QuoteAuthor"/>
      </w:pPr>
      <w:r w:rsidRPr="6766CE18">
        <w:t>V</w:t>
      </w:r>
      <w:r w:rsidR="744D8957" w:rsidRPr="6766CE18">
        <w:t>ic</w:t>
      </w:r>
      <w:r w:rsidRPr="6AD0082D">
        <w:t xml:space="preserve"> medium not-for-profit</w:t>
      </w:r>
    </w:p>
    <w:p w14:paraId="5429E101" w14:textId="4B53C8EC" w:rsidR="05B79D20" w:rsidRDefault="05B79D20" w:rsidP="009F0480">
      <w:pPr>
        <w:pStyle w:val="Quote"/>
      </w:pPr>
      <w:r w:rsidRPr="6AD0082D">
        <w:t>“Staff preference to work casual.”</w:t>
      </w:r>
    </w:p>
    <w:p w14:paraId="5EB81060" w14:textId="77777777" w:rsidR="004316F3" w:rsidRDefault="668D7EFC" w:rsidP="009F0480">
      <w:pPr>
        <w:pStyle w:val="QuoteAuthor"/>
      </w:pPr>
      <w:r w:rsidRPr="6766CE18">
        <w:t>Vic</w:t>
      </w:r>
      <w:r w:rsidR="05B79D20" w:rsidRPr="6AD0082D">
        <w:t xml:space="preserve"> medium not-for-profit</w:t>
      </w:r>
    </w:p>
    <w:p w14:paraId="77286F0C" w14:textId="58FC3632" w:rsidR="05B79D20" w:rsidRDefault="05B79D20" w:rsidP="009F0480">
      <w:pPr>
        <w:pStyle w:val="Quote"/>
      </w:pPr>
      <w:r w:rsidRPr="6AD0082D">
        <w:t xml:space="preserve">“Flexibility </w:t>
      </w:r>
      <w:r w:rsidRPr="6AD0082D">
        <w:rPr>
          <w:rFonts w:ascii="Segoe UI Symbol" w:eastAsia="Segoe UI Symbol" w:hAnsi="Segoe UI Symbol" w:cs="Segoe UI Symbol"/>
          <w:lang w:val="en-US"/>
        </w:rPr>
        <w:t>⏤</w:t>
      </w:r>
      <w:r w:rsidRPr="6AD0082D">
        <w:rPr>
          <w:lang w:val="en-US"/>
        </w:rPr>
        <w:t xml:space="preserve"> </w:t>
      </w:r>
      <w:r w:rsidRPr="6AD0082D">
        <w:t>will not change or work additional hours or shift work.”</w:t>
      </w:r>
    </w:p>
    <w:p w14:paraId="35740A2C" w14:textId="77777777" w:rsidR="004316F3" w:rsidRDefault="529D8E3F" w:rsidP="009F0480">
      <w:pPr>
        <w:pStyle w:val="QuoteAuthor"/>
      </w:pPr>
      <w:r w:rsidRPr="6766CE18">
        <w:t>Vic</w:t>
      </w:r>
      <w:r w:rsidR="05B79D20" w:rsidRPr="6AD0082D">
        <w:t xml:space="preserve"> small not-for-profit</w:t>
      </w:r>
    </w:p>
    <w:p w14:paraId="4D3A289E" w14:textId="56592883" w:rsidR="05B79D20" w:rsidRDefault="05B79D20" w:rsidP="009F0480">
      <w:pPr>
        <w:pStyle w:val="Quote"/>
      </w:pPr>
      <w:r w:rsidRPr="6AD0082D">
        <w:t>“Role accountability and responsibility expectations (‘I don't have to work that hard in my other jobs’).”</w:t>
      </w:r>
    </w:p>
    <w:p w14:paraId="6E46AE66" w14:textId="77777777" w:rsidR="004316F3" w:rsidRDefault="05B79D20" w:rsidP="009F0480">
      <w:pPr>
        <w:pStyle w:val="QuoteAuthor"/>
      </w:pPr>
      <w:r w:rsidRPr="6AD0082D">
        <w:t>ACT medium not-for-profit</w:t>
      </w:r>
    </w:p>
    <w:p w14:paraId="3AB814DD" w14:textId="77777777" w:rsidR="004316F3" w:rsidRDefault="05B79D20" w:rsidP="0097062A">
      <w:pPr>
        <w:rPr>
          <w:color w:val="000000" w:themeColor="text1"/>
        </w:rPr>
      </w:pPr>
      <w:r>
        <w:t>In open text responses to the key supports</w:t>
      </w:r>
      <w:r w:rsidR="00556DCA">
        <w:t xml:space="preserve"> or </w:t>
      </w:r>
      <w:r>
        <w:t>enablers that they experience in recruiting staff, respondents raised training and professional development opportunities and reputation of organisation as enablers:</w:t>
      </w:r>
    </w:p>
    <w:p w14:paraId="52AD7351" w14:textId="289D6F00" w:rsidR="05B79D20" w:rsidRDefault="05B79D20" w:rsidP="009F0480">
      <w:pPr>
        <w:pStyle w:val="Quote"/>
      </w:pPr>
      <w:r w:rsidRPr="6AD0082D">
        <w:t>“We offer great training and conditions.”</w:t>
      </w:r>
    </w:p>
    <w:p w14:paraId="38EF1FAC" w14:textId="77777777" w:rsidR="004316F3" w:rsidRDefault="3DA2987A" w:rsidP="009F0480">
      <w:pPr>
        <w:pStyle w:val="QuoteAuthor"/>
      </w:pPr>
      <w:r w:rsidRPr="6766CE18">
        <w:t>Vic</w:t>
      </w:r>
      <w:r w:rsidR="05B79D20" w:rsidRPr="6AD0082D">
        <w:t xml:space="preserve"> medium not-for-profit</w:t>
      </w:r>
    </w:p>
    <w:p w14:paraId="0645F928" w14:textId="43052F29" w:rsidR="05B79D20" w:rsidRDefault="05B79D20" w:rsidP="009F0480">
      <w:pPr>
        <w:pStyle w:val="Quote"/>
      </w:pPr>
      <w:r w:rsidRPr="6AD0082D">
        <w:t>“Skills training.”</w:t>
      </w:r>
    </w:p>
    <w:p w14:paraId="100E3526" w14:textId="77777777" w:rsidR="004316F3" w:rsidRDefault="05B79D20" w:rsidP="009F0480">
      <w:pPr>
        <w:pStyle w:val="QuoteAuthor"/>
      </w:pPr>
      <w:r w:rsidRPr="6AD0082D">
        <w:t>ACT medium not-for-profit</w:t>
      </w:r>
    </w:p>
    <w:p w14:paraId="225F129A" w14:textId="3E9B88C0" w:rsidR="05B79D20" w:rsidRDefault="05B79D20" w:rsidP="009F0480">
      <w:pPr>
        <w:pStyle w:val="Quote"/>
      </w:pPr>
      <w:r w:rsidRPr="6AD0082D">
        <w:lastRenderedPageBreak/>
        <w:t xml:space="preserve">“We partner with training organisations to provide practical experience </w:t>
      </w:r>
      <w:r w:rsidR="00546D12">
        <w:t>and</w:t>
      </w:r>
      <w:r w:rsidRPr="6AD0082D">
        <w:t xml:space="preserve"> possible employment.”</w:t>
      </w:r>
    </w:p>
    <w:p w14:paraId="5200E7D1" w14:textId="77777777" w:rsidR="004316F3" w:rsidRDefault="05B79D20" w:rsidP="009F0480">
      <w:pPr>
        <w:pStyle w:val="QuoteAuthor"/>
      </w:pPr>
      <w:r w:rsidRPr="6766CE18">
        <w:t>Q</w:t>
      </w:r>
      <w:r w:rsidR="7545CC31" w:rsidRPr="6766CE18">
        <w:t>ld</w:t>
      </w:r>
      <w:r w:rsidRPr="6AD0082D">
        <w:t xml:space="preserve"> small not-for-profit</w:t>
      </w:r>
    </w:p>
    <w:p w14:paraId="6DC959C9" w14:textId="0C19B9FD" w:rsidR="05B79D20" w:rsidRDefault="05B79D20" w:rsidP="009F0480">
      <w:pPr>
        <w:pStyle w:val="Quote"/>
      </w:pPr>
      <w:r w:rsidRPr="6AD0082D">
        <w:t>“Providing ongoing training and career development programs attracts candidates.”</w:t>
      </w:r>
    </w:p>
    <w:p w14:paraId="6D542055" w14:textId="77777777" w:rsidR="004316F3" w:rsidRDefault="05B79D20" w:rsidP="009F0480">
      <w:pPr>
        <w:pStyle w:val="QuoteAuthor"/>
      </w:pPr>
      <w:r w:rsidRPr="6AD0082D">
        <w:t>NSW very small for-profit</w:t>
      </w:r>
    </w:p>
    <w:p w14:paraId="60872937" w14:textId="07CA0CA7" w:rsidR="05B79D20" w:rsidRDefault="05B79D20" w:rsidP="009F0480">
      <w:pPr>
        <w:pStyle w:val="Quote"/>
      </w:pPr>
      <w:r w:rsidRPr="6AD0082D">
        <w:t>“Professional development.”</w:t>
      </w:r>
    </w:p>
    <w:p w14:paraId="15368235" w14:textId="77777777" w:rsidR="004316F3" w:rsidRDefault="05B79D20" w:rsidP="009F0480">
      <w:pPr>
        <w:pStyle w:val="QuoteAuthor"/>
      </w:pPr>
      <w:r w:rsidRPr="6AD0082D">
        <w:t>ACT medium not-for-profit</w:t>
      </w:r>
    </w:p>
    <w:p w14:paraId="07EB6628" w14:textId="4F694986" w:rsidR="05B79D20" w:rsidRDefault="05B79D20" w:rsidP="009F0480">
      <w:pPr>
        <w:pStyle w:val="Quote"/>
      </w:pPr>
      <w:r w:rsidRPr="6AD0082D">
        <w:t>“It's our brand and reputation.”</w:t>
      </w:r>
    </w:p>
    <w:p w14:paraId="680283DE" w14:textId="77777777" w:rsidR="004316F3" w:rsidRDefault="05B79D20" w:rsidP="009F0480">
      <w:pPr>
        <w:pStyle w:val="QuoteAuthor"/>
      </w:pPr>
      <w:r w:rsidRPr="6AD0082D">
        <w:t>SA medium not-for-profit</w:t>
      </w:r>
    </w:p>
    <w:p w14:paraId="1F6EF379" w14:textId="672DEDA3" w:rsidR="05B79D20" w:rsidRDefault="05B79D20" w:rsidP="009F0480">
      <w:pPr>
        <w:pStyle w:val="Quote"/>
      </w:pPr>
      <w:r w:rsidRPr="6AD0082D">
        <w:t>“Good local reputation as employer of choice.”</w:t>
      </w:r>
    </w:p>
    <w:p w14:paraId="1888059B" w14:textId="77777777" w:rsidR="004316F3" w:rsidRDefault="1FF6216E" w:rsidP="009F0480">
      <w:pPr>
        <w:pStyle w:val="QuoteAuthor"/>
      </w:pPr>
      <w:r w:rsidRPr="6766CE18">
        <w:t>Vic</w:t>
      </w:r>
      <w:r w:rsidR="05B79D20" w:rsidRPr="6AD0082D">
        <w:t xml:space="preserve"> medium not-for-profit</w:t>
      </w:r>
    </w:p>
    <w:p w14:paraId="37FC7E82" w14:textId="77777777" w:rsidR="004316F3" w:rsidRDefault="05B79D20" w:rsidP="0097062A">
      <w:r w:rsidRPr="6AD0082D">
        <w:t>Respondents often reported on word-of-mouth as supporting staff recruitment:</w:t>
      </w:r>
    </w:p>
    <w:p w14:paraId="559FEC66" w14:textId="354BCCCC" w:rsidR="05B79D20" w:rsidRDefault="05B79D20" w:rsidP="009F0480">
      <w:pPr>
        <w:pStyle w:val="Quote"/>
      </w:pPr>
      <w:r w:rsidRPr="6AD0082D">
        <w:t>“Word-of-mouth is the strongest asset.”</w:t>
      </w:r>
    </w:p>
    <w:p w14:paraId="221E9372" w14:textId="77777777" w:rsidR="004316F3" w:rsidRDefault="05B79D20" w:rsidP="009F0480">
      <w:pPr>
        <w:pStyle w:val="QuoteAuthor"/>
      </w:pPr>
      <w:r w:rsidRPr="6AD0082D">
        <w:t>SA large not-for-profit</w:t>
      </w:r>
    </w:p>
    <w:p w14:paraId="0E404F7C" w14:textId="6C8E173E" w:rsidR="05B79D20" w:rsidRDefault="05B79D20" w:rsidP="009F0480">
      <w:pPr>
        <w:pStyle w:val="Quote"/>
      </w:pPr>
      <w:r w:rsidRPr="6AD0082D">
        <w:t>“Word-of-mouth of existing staff.”</w:t>
      </w:r>
    </w:p>
    <w:p w14:paraId="6CEAF076" w14:textId="77777777" w:rsidR="004316F3" w:rsidRDefault="05B79D20" w:rsidP="009F0480">
      <w:pPr>
        <w:pStyle w:val="QuoteAuthor"/>
      </w:pPr>
      <w:r w:rsidRPr="6AD0082D">
        <w:t>SA medium not-for-profit</w:t>
      </w:r>
    </w:p>
    <w:p w14:paraId="3F857B21" w14:textId="0A0B41E0" w:rsidR="05B79D20" w:rsidRDefault="05B79D20" w:rsidP="009F0480">
      <w:pPr>
        <w:pStyle w:val="Quote"/>
      </w:pPr>
      <w:r w:rsidRPr="6AD0082D">
        <w:t>“Referral from previous staff.”</w:t>
      </w:r>
    </w:p>
    <w:p w14:paraId="40E5558A" w14:textId="77777777" w:rsidR="004316F3" w:rsidRDefault="05B79D20" w:rsidP="009F0480">
      <w:pPr>
        <w:pStyle w:val="QuoteAuthor"/>
      </w:pPr>
      <w:r w:rsidRPr="6AD0082D">
        <w:t>NSW small not-for-profit</w:t>
      </w:r>
    </w:p>
    <w:p w14:paraId="5CE06386" w14:textId="053E44E2" w:rsidR="05B79D20" w:rsidRDefault="05B79D20" w:rsidP="009F0480">
      <w:pPr>
        <w:pStyle w:val="Quote"/>
      </w:pPr>
      <w:r w:rsidRPr="6AD0082D">
        <w:t>“Word-of-mouth referrals.”</w:t>
      </w:r>
    </w:p>
    <w:p w14:paraId="118A1E0E" w14:textId="77777777" w:rsidR="00AD077F" w:rsidRDefault="6C89725D" w:rsidP="009F0480">
      <w:pPr>
        <w:pStyle w:val="QuoteAuthor"/>
      </w:pPr>
      <w:r w:rsidRPr="6766CE18">
        <w:t>Vic</w:t>
      </w:r>
      <w:r w:rsidR="05B79D20" w:rsidRPr="644B5232">
        <w:t xml:space="preserve"> medium not-for-profit</w:t>
      </w:r>
    </w:p>
    <w:p w14:paraId="1C388CCA" w14:textId="77777777" w:rsidR="004316F3" w:rsidRDefault="05B79D20" w:rsidP="0097062A">
      <w:pPr>
        <w:rPr>
          <w:color w:val="000000" w:themeColor="text1"/>
        </w:rPr>
      </w:pPr>
      <w:r>
        <w:t xml:space="preserve">Other enablers reported by respondents included a positive, supportive and welcoming work environment, organisational culture and values, offering fair pay, relationships with industry and personal networks, relationships with universities, </w:t>
      </w:r>
      <w:r>
        <w:lastRenderedPageBreak/>
        <w:t>other financial incentives (for example, salary sacrificing), flexible work arrangements, and effective hiring processes:</w:t>
      </w:r>
    </w:p>
    <w:p w14:paraId="55F10265" w14:textId="390F54E4" w:rsidR="05B79D20" w:rsidRDefault="05B79D20" w:rsidP="009F0480">
      <w:pPr>
        <w:pStyle w:val="Quote"/>
      </w:pPr>
      <w:r w:rsidRPr="6AD0082D">
        <w:t>“The welcoming environment that our supported employees and team provide.”</w:t>
      </w:r>
    </w:p>
    <w:p w14:paraId="68FE8189" w14:textId="77777777" w:rsidR="004316F3" w:rsidRDefault="05B79D20" w:rsidP="009F0480">
      <w:pPr>
        <w:pStyle w:val="QuoteAuthor"/>
      </w:pPr>
      <w:r w:rsidRPr="6AD0082D">
        <w:t>NSW small not-for-profit</w:t>
      </w:r>
    </w:p>
    <w:p w14:paraId="1EFFA975" w14:textId="2C0C2545" w:rsidR="05B79D20" w:rsidRDefault="05B79D20" w:rsidP="009F0480">
      <w:pPr>
        <w:pStyle w:val="Quote"/>
      </w:pPr>
      <w:r w:rsidRPr="6AD0082D">
        <w:t>“Our good culture and diverse employment opportunities.”</w:t>
      </w:r>
    </w:p>
    <w:p w14:paraId="008F4345" w14:textId="77777777" w:rsidR="004316F3" w:rsidRDefault="05B79D20" w:rsidP="009F0480">
      <w:pPr>
        <w:pStyle w:val="QuoteAuthor"/>
      </w:pPr>
      <w:r w:rsidRPr="6AD0082D">
        <w:t>NSW large not-for-profit</w:t>
      </w:r>
    </w:p>
    <w:p w14:paraId="11ED0520" w14:textId="06BC4AD3" w:rsidR="05B79D20" w:rsidRDefault="05B79D20" w:rsidP="009F0480">
      <w:pPr>
        <w:pStyle w:val="Quote"/>
      </w:pPr>
      <w:r w:rsidRPr="6AD0082D">
        <w:t>“Tapping into local informal networks provides the best disability support worker.”</w:t>
      </w:r>
    </w:p>
    <w:p w14:paraId="1B00AAD0" w14:textId="5D004502" w:rsidR="05B79D20" w:rsidRDefault="05B79D20" w:rsidP="009F0480">
      <w:pPr>
        <w:pStyle w:val="QuoteAuthor"/>
      </w:pPr>
      <w:r w:rsidRPr="6AD0082D">
        <w:t>SA medium not-for-profit</w:t>
      </w:r>
    </w:p>
    <w:p w14:paraId="4AF372E3" w14:textId="268A3716" w:rsidR="05B79D20" w:rsidRDefault="05B79D20" w:rsidP="009F0480">
      <w:pPr>
        <w:pStyle w:val="Quote"/>
      </w:pPr>
      <w:r w:rsidRPr="6AD0082D">
        <w:t>“Partnerships with universities for student placements.”</w:t>
      </w:r>
    </w:p>
    <w:p w14:paraId="0CEF65B4" w14:textId="77777777" w:rsidR="004316F3" w:rsidRDefault="6F2DA4B5" w:rsidP="009F0480">
      <w:pPr>
        <w:pStyle w:val="QuoteAuthor"/>
      </w:pPr>
      <w:r w:rsidRPr="6766CE18">
        <w:t>Vic</w:t>
      </w:r>
      <w:r w:rsidR="05B79D20" w:rsidRPr="6AD0082D">
        <w:t xml:space="preserve"> small not-for-profit</w:t>
      </w:r>
    </w:p>
    <w:p w14:paraId="155680C9" w14:textId="13144D8A" w:rsidR="05B79D20" w:rsidRDefault="05B79D20" w:rsidP="009F0480">
      <w:pPr>
        <w:pStyle w:val="Quote"/>
      </w:pPr>
      <w:r w:rsidRPr="6AD0082D">
        <w:t>“NFP benefits such as salary sacrifice.”</w:t>
      </w:r>
    </w:p>
    <w:p w14:paraId="1C7A5154" w14:textId="77777777" w:rsidR="004316F3" w:rsidRDefault="05B79D20" w:rsidP="009F0480">
      <w:pPr>
        <w:pStyle w:val="QuoteAuthor"/>
      </w:pPr>
      <w:r w:rsidRPr="6AD0082D">
        <w:t>NSW medium not-for-profit</w:t>
      </w:r>
    </w:p>
    <w:p w14:paraId="0F7919BC" w14:textId="571D5CB4" w:rsidR="05B79D20" w:rsidRDefault="05B79D20" w:rsidP="009F0480">
      <w:pPr>
        <w:pStyle w:val="Quote"/>
      </w:pPr>
      <w:r w:rsidRPr="6AD0082D">
        <w:t>“Flexible work arrangements: offering flexible work options, such as part-time or remote work, supports recruitment efforts, particularly for roles that can be adapted to such arrangements.”</w:t>
      </w:r>
    </w:p>
    <w:p w14:paraId="4DF215BA" w14:textId="77777777" w:rsidR="004316F3" w:rsidRDefault="05B79D20" w:rsidP="009F0480">
      <w:pPr>
        <w:pStyle w:val="QuoteAuthor"/>
      </w:pPr>
      <w:r w:rsidRPr="6AD0082D">
        <w:t>NSW very small for-profit</w:t>
      </w:r>
    </w:p>
    <w:p w14:paraId="43D76431" w14:textId="1B8EBCEA" w:rsidR="05B79D20" w:rsidRDefault="05B79D20" w:rsidP="009F0480">
      <w:pPr>
        <w:pStyle w:val="Quote"/>
      </w:pPr>
      <w:r w:rsidRPr="6AD0082D">
        <w:t>“Effective recruitment processes: streamlined hiring processes and efficient onboarding can make recruitment more effective and appealing, especially for roles with high turnover rates.”</w:t>
      </w:r>
    </w:p>
    <w:p w14:paraId="1ED3FE95" w14:textId="77777777" w:rsidR="004316F3" w:rsidRDefault="05B79D20" w:rsidP="009F0480">
      <w:pPr>
        <w:pStyle w:val="QuoteAuthor"/>
      </w:pPr>
      <w:r w:rsidRPr="6AD0082D">
        <w:t>NSW very small for-profit</w:t>
      </w:r>
    </w:p>
    <w:p w14:paraId="798E3770" w14:textId="77777777" w:rsidR="002E4158" w:rsidRDefault="002E4158" w:rsidP="002E4158">
      <w:pPr>
        <w:spacing w:before="240"/>
      </w:pPr>
      <w:r>
        <w:t xml:space="preserve">Respondents’ free-text descriptions of barriers and facilitators of recruitment are </w:t>
      </w:r>
      <w:r w:rsidRPr="006028B1">
        <w:t>summarised below.</w:t>
      </w:r>
    </w:p>
    <w:p w14:paraId="296C71A7" w14:textId="4772F6CE" w:rsidR="001B1052" w:rsidRDefault="001B1052" w:rsidP="002E4158">
      <w:pPr>
        <w:pStyle w:val="Heading5"/>
      </w:pPr>
      <w:r w:rsidRPr="001B1052">
        <w:t>Barriers to recruitment</w:t>
      </w:r>
    </w:p>
    <w:p w14:paraId="793A928C" w14:textId="3B26609B" w:rsidR="001B1052" w:rsidRDefault="001B1052" w:rsidP="0097062A">
      <w:pPr>
        <w:pStyle w:val="ListParagraph"/>
        <w:numPr>
          <w:ilvl w:val="0"/>
          <w:numId w:val="40"/>
        </w:numPr>
      </w:pPr>
      <w:r>
        <w:t>a</w:t>
      </w:r>
      <w:r w:rsidRPr="6AD0082D">
        <w:t xml:space="preserve"> lack of qualified or suitable staff</w:t>
      </w:r>
    </w:p>
    <w:p w14:paraId="5714F57A" w14:textId="5F957C6F" w:rsidR="001B1052" w:rsidRDefault="001B1052" w:rsidP="0097062A">
      <w:pPr>
        <w:pStyle w:val="ListParagraph"/>
        <w:numPr>
          <w:ilvl w:val="0"/>
          <w:numId w:val="40"/>
        </w:numPr>
      </w:pPr>
      <w:r w:rsidRPr="6AD0082D">
        <w:t>competition from other sectors</w:t>
      </w:r>
    </w:p>
    <w:p w14:paraId="5A1A2375" w14:textId="43930235" w:rsidR="001B1052" w:rsidRDefault="001B1052" w:rsidP="0097062A">
      <w:pPr>
        <w:pStyle w:val="ListParagraph"/>
        <w:numPr>
          <w:ilvl w:val="0"/>
          <w:numId w:val="40"/>
        </w:numPr>
      </w:pPr>
      <w:r w:rsidRPr="6AD0082D">
        <w:lastRenderedPageBreak/>
        <w:t>scarcity of accommodation and perceptions of safety risks in rural and regional areas</w:t>
      </w:r>
    </w:p>
    <w:p w14:paraId="37CF2D0D" w14:textId="457EFD5D" w:rsidR="001B1052" w:rsidRDefault="001B1052" w:rsidP="0097062A">
      <w:pPr>
        <w:pStyle w:val="ListParagraph"/>
        <w:numPr>
          <w:ilvl w:val="0"/>
          <w:numId w:val="40"/>
        </w:numPr>
      </w:pPr>
      <w:r w:rsidRPr="6AD0082D">
        <w:t>pay expectations; rates cannot compete with other sectors</w:t>
      </w:r>
    </w:p>
    <w:p w14:paraId="220014A1" w14:textId="588BF795" w:rsidR="001B1052" w:rsidRDefault="001B1052" w:rsidP="0097062A">
      <w:pPr>
        <w:pStyle w:val="ListParagraph"/>
        <w:numPr>
          <w:ilvl w:val="0"/>
          <w:numId w:val="40"/>
        </w:numPr>
      </w:pPr>
      <w:r w:rsidRPr="6AD0082D">
        <w:t>NDIS pricing limits</w:t>
      </w:r>
    </w:p>
    <w:p w14:paraId="78243435" w14:textId="5A56F6AD" w:rsidR="001B1052" w:rsidRDefault="001B1052" w:rsidP="0097062A">
      <w:pPr>
        <w:pStyle w:val="ListParagraph"/>
        <w:numPr>
          <w:ilvl w:val="0"/>
          <w:numId w:val="40"/>
        </w:numPr>
      </w:pPr>
      <w:r w:rsidRPr="6AD0082D">
        <w:t>lack of career pathways</w:t>
      </w:r>
    </w:p>
    <w:p w14:paraId="1FF3DFA6" w14:textId="7FF1984E" w:rsidR="001B1052" w:rsidRDefault="001B1052" w:rsidP="0097062A">
      <w:pPr>
        <w:pStyle w:val="ListParagraph"/>
        <w:numPr>
          <w:ilvl w:val="0"/>
          <w:numId w:val="40"/>
        </w:numPr>
      </w:pPr>
      <w:r w:rsidRPr="6AD0082D">
        <w:t>preference for casual contracts</w:t>
      </w:r>
    </w:p>
    <w:p w14:paraId="69D7A9A9" w14:textId="6CD3F618" w:rsidR="001B1052" w:rsidRDefault="001B1052" w:rsidP="0097062A">
      <w:pPr>
        <w:pStyle w:val="ListParagraph"/>
        <w:numPr>
          <w:ilvl w:val="0"/>
          <w:numId w:val="40"/>
        </w:numPr>
      </w:pPr>
      <w:r w:rsidRPr="6AD0082D">
        <w:t>do not want shift work</w:t>
      </w:r>
    </w:p>
    <w:p w14:paraId="45D9AE33" w14:textId="455BB579" w:rsidR="001B1052" w:rsidRDefault="001B1052" w:rsidP="0097062A">
      <w:pPr>
        <w:pStyle w:val="ListParagraph"/>
        <w:numPr>
          <w:ilvl w:val="0"/>
          <w:numId w:val="40"/>
        </w:numPr>
      </w:pPr>
      <w:r>
        <w:t>d</w:t>
      </w:r>
      <w:r w:rsidRPr="6AD0082D">
        <w:t>o not want work stress or high workloa</w:t>
      </w:r>
      <w:r w:rsidRPr="001B1052">
        <w:t>d</w:t>
      </w:r>
      <w:r>
        <w:t>.</w:t>
      </w:r>
    </w:p>
    <w:p w14:paraId="77D741CD" w14:textId="7E95955D" w:rsidR="001B1052" w:rsidRDefault="001B1052" w:rsidP="002E4158">
      <w:pPr>
        <w:pStyle w:val="Heading5"/>
      </w:pPr>
      <w:r w:rsidRPr="001B1052">
        <w:t>Facilitators of recruitment</w:t>
      </w:r>
    </w:p>
    <w:p w14:paraId="1C6EB797" w14:textId="22B5D4C9" w:rsidR="001B1052" w:rsidRDefault="001B1052" w:rsidP="0097062A">
      <w:pPr>
        <w:pStyle w:val="ListParagraph"/>
        <w:numPr>
          <w:ilvl w:val="0"/>
          <w:numId w:val="40"/>
        </w:numPr>
      </w:pPr>
      <w:r w:rsidRPr="6AD0082D">
        <w:t>training and professional development opportunities</w:t>
      </w:r>
    </w:p>
    <w:p w14:paraId="5E85DDF1" w14:textId="7F2D174A" w:rsidR="001B1052" w:rsidRDefault="001B1052" w:rsidP="0097062A">
      <w:pPr>
        <w:pStyle w:val="ListParagraph"/>
        <w:numPr>
          <w:ilvl w:val="0"/>
          <w:numId w:val="40"/>
        </w:numPr>
      </w:pPr>
      <w:r w:rsidRPr="6AD0082D">
        <w:t>reputation of organisation</w:t>
      </w:r>
    </w:p>
    <w:p w14:paraId="50A04855" w14:textId="5112E4F7" w:rsidR="001B1052" w:rsidRDefault="001B1052" w:rsidP="0097062A">
      <w:pPr>
        <w:pStyle w:val="ListParagraph"/>
        <w:numPr>
          <w:ilvl w:val="0"/>
          <w:numId w:val="40"/>
        </w:numPr>
      </w:pPr>
      <w:r w:rsidRPr="6AD0082D">
        <w:t>word-of-mouth</w:t>
      </w:r>
    </w:p>
    <w:p w14:paraId="3003C04B" w14:textId="1BCC21F8" w:rsidR="001B1052" w:rsidRDefault="001B1052" w:rsidP="0097062A">
      <w:pPr>
        <w:pStyle w:val="ListParagraph"/>
        <w:numPr>
          <w:ilvl w:val="0"/>
          <w:numId w:val="40"/>
        </w:numPr>
      </w:pPr>
      <w:r w:rsidRPr="6AD0082D">
        <w:t>a positive, supportive and welcoming work environment</w:t>
      </w:r>
    </w:p>
    <w:p w14:paraId="1AF4C7CD" w14:textId="0B4ED217" w:rsidR="001B1052" w:rsidRDefault="001B1052" w:rsidP="0097062A">
      <w:pPr>
        <w:pStyle w:val="ListParagraph"/>
        <w:numPr>
          <w:ilvl w:val="0"/>
          <w:numId w:val="40"/>
        </w:numPr>
      </w:pPr>
      <w:r w:rsidRPr="6AD0082D">
        <w:t>organisational culture and values</w:t>
      </w:r>
    </w:p>
    <w:p w14:paraId="3BA1D30C" w14:textId="1871B927" w:rsidR="001B1052" w:rsidRDefault="001B1052" w:rsidP="0097062A">
      <w:pPr>
        <w:pStyle w:val="ListParagraph"/>
        <w:numPr>
          <w:ilvl w:val="0"/>
          <w:numId w:val="40"/>
        </w:numPr>
      </w:pPr>
      <w:r w:rsidRPr="6AD0082D">
        <w:t>offering fair pay</w:t>
      </w:r>
    </w:p>
    <w:p w14:paraId="4A2A4974" w14:textId="63F536FA" w:rsidR="001B1052" w:rsidRDefault="001B1052" w:rsidP="0097062A">
      <w:pPr>
        <w:pStyle w:val="ListParagraph"/>
        <w:numPr>
          <w:ilvl w:val="0"/>
          <w:numId w:val="40"/>
        </w:numPr>
      </w:pPr>
      <w:r w:rsidRPr="6AD0082D">
        <w:t>relationships with industry and personal networks</w:t>
      </w:r>
    </w:p>
    <w:p w14:paraId="5350B5AA" w14:textId="443C6959" w:rsidR="001B1052" w:rsidRDefault="001B1052" w:rsidP="0097062A">
      <w:pPr>
        <w:pStyle w:val="ListParagraph"/>
        <w:numPr>
          <w:ilvl w:val="0"/>
          <w:numId w:val="40"/>
        </w:numPr>
      </w:pPr>
      <w:r w:rsidRPr="6AD0082D">
        <w:t>relationships with universities</w:t>
      </w:r>
    </w:p>
    <w:p w14:paraId="5A562262" w14:textId="5C39D8AE" w:rsidR="001B1052" w:rsidRDefault="001B1052" w:rsidP="0097062A">
      <w:pPr>
        <w:pStyle w:val="ListParagraph"/>
        <w:numPr>
          <w:ilvl w:val="0"/>
          <w:numId w:val="40"/>
        </w:numPr>
      </w:pPr>
      <w:r w:rsidRPr="6AD0082D">
        <w:t>other financial incentives (for example, salary sacrificing)</w:t>
      </w:r>
    </w:p>
    <w:p w14:paraId="59706318" w14:textId="77777777" w:rsidR="001B1052" w:rsidRDefault="001B1052" w:rsidP="0097062A">
      <w:pPr>
        <w:pStyle w:val="ListParagraph"/>
        <w:numPr>
          <w:ilvl w:val="0"/>
          <w:numId w:val="40"/>
        </w:numPr>
      </w:pPr>
      <w:r w:rsidRPr="6AD0082D">
        <w:t>flexible work arrangements</w:t>
      </w:r>
    </w:p>
    <w:p w14:paraId="6BD068EA" w14:textId="23AC1E43" w:rsidR="001B1052" w:rsidRPr="001B1052" w:rsidRDefault="001B1052" w:rsidP="0097062A">
      <w:pPr>
        <w:pStyle w:val="ListParagraph"/>
        <w:numPr>
          <w:ilvl w:val="0"/>
          <w:numId w:val="40"/>
        </w:numPr>
      </w:pPr>
      <w:r>
        <w:t>e</w:t>
      </w:r>
      <w:r w:rsidRPr="001B1052">
        <w:t>ffective hiring processes</w:t>
      </w:r>
      <w:r>
        <w:t>.</w:t>
      </w:r>
    </w:p>
    <w:p w14:paraId="7D482B5A" w14:textId="6C12255B" w:rsidR="05B79D20" w:rsidRPr="00F53DA4" w:rsidRDefault="05B79D20" w:rsidP="0097062A">
      <w:pPr>
        <w:pStyle w:val="Heading4"/>
      </w:pPr>
      <w:r w:rsidRPr="00F53DA4">
        <w:t>Retention</w:t>
      </w:r>
    </w:p>
    <w:p w14:paraId="53650E53" w14:textId="5CE89B2F" w:rsidR="05B79D20" w:rsidRDefault="05B79D20" w:rsidP="0097062A">
      <w:pPr>
        <w:rPr>
          <w:color w:val="000000" w:themeColor="text1"/>
        </w:rPr>
      </w:pPr>
      <w:r>
        <w:t>Retention woes are also easing, though not quickly enough. Speech therapists, occupational therapist, psychologists, physiotherapists and behaviour support practitioners remain difficult to retain. This is particularly notable given that these are also the most difficult roles to recruit</w:t>
      </w:r>
      <w:r w:rsidR="00D96B8E">
        <w:t>.</w:t>
      </w:r>
      <w:r>
        <w:t xml:space="preserve"> Plan managers, finance and accounting staff, marketing and business development staff and IT staff are easiest to retain but also easy to recruit.</w:t>
      </w:r>
    </w:p>
    <w:p w14:paraId="33FAB16B" w14:textId="0AF76226" w:rsidR="004316F3" w:rsidRDefault="000202B8" w:rsidP="0097062A">
      <w:r w:rsidRPr="000202B8">
        <w:fldChar w:fldCharType="begin"/>
      </w:r>
      <w:r w:rsidRPr="000202B8">
        <w:instrText xml:space="preserve"> REF _Ref184224260 \h  \* MERGEFORMAT </w:instrText>
      </w:r>
      <w:r w:rsidRPr="000202B8">
        <w:fldChar w:fldCharType="separate"/>
      </w:r>
      <w:r w:rsidRPr="000202B8">
        <w:t xml:space="preserve">Table </w:t>
      </w:r>
      <w:r w:rsidRPr="000202B8">
        <w:rPr>
          <w:noProof/>
        </w:rPr>
        <w:t>29</w:t>
      </w:r>
      <w:r w:rsidRPr="000202B8">
        <w:fldChar w:fldCharType="end"/>
      </w:r>
      <w:r w:rsidR="005C523B" w:rsidRPr="000202B8">
        <w:t xml:space="preserve">, </w:t>
      </w:r>
      <w:r w:rsidRPr="000202B8">
        <w:fldChar w:fldCharType="begin"/>
      </w:r>
      <w:r w:rsidRPr="000202B8">
        <w:instrText xml:space="preserve"> REF _Ref184224292 \h  \* MERGEFORMAT </w:instrText>
      </w:r>
      <w:r w:rsidRPr="000202B8">
        <w:fldChar w:fldCharType="separate"/>
      </w:r>
      <w:r w:rsidRPr="000202B8">
        <w:t xml:space="preserve">Table </w:t>
      </w:r>
      <w:r w:rsidRPr="000202B8">
        <w:rPr>
          <w:noProof/>
        </w:rPr>
        <w:t>30</w:t>
      </w:r>
      <w:r w:rsidRPr="000202B8">
        <w:fldChar w:fldCharType="end"/>
      </w:r>
      <w:r w:rsidR="005C523B" w:rsidRPr="000202B8">
        <w:t xml:space="preserve">, </w:t>
      </w:r>
      <w:r w:rsidRPr="000202B8">
        <w:fldChar w:fldCharType="begin"/>
      </w:r>
      <w:r w:rsidRPr="000202B8">
        <w:instrText xml:space="preserve"> REF _Ref184224327 \h  \* MERGEFORMAT </w:instrText>
      </w:r>
      <w:r w:rsidRPr="000202B8">
        <w:fldChar w:fldCharType="separate"/>
      </w:r>
      <w:r w:rsidRPr="000202B8">
        <w:t xml:space="preserve">Table </w:t>
      </w:r>
      <w:r w:rsidRPr="000202B8">
        <w:rPr>
          <w:noProof/>
        </w:rPr>
        <w:t>31</w:t>
      </w:r>
      <w:r w:rsidRPr="000202B8">
        <w:fldChar w:fldCharType="end"/>
      </w:r>
      <w:r w:rsidR="005C523B" w:rsidRPr="000202B8">
        <w:t xml:space="preserve"> and </w:t>
      </w:r>
      <w:r w:rsidRPr="000202B8">
        <w:fldChar w:fldCharType="begin"/>
      </w:r>
      <w:r w:rsidRPr="000202B8">
        <w:instrText xml:space="preserve"> REF _Ref184224340 \h  \* MERGEFORMAT </w:instrText>
      </w:r>
      <w:r w:rsidRPr="000202B8">
        <w:fldChar w:fldCharType="separate"/>
      </w:r>
      <w:r w:rsidRPr="000202B8">
        <w:t xml:space="preserve">Table </w:t>
      </w:r>
      <w:r w:rsidRPr="000202B8">
        <w:rPr>
          <w:noProof/>
        </w:rPr>
        <w:t>32</w:t>
      </w:r>
      <w:r w:rsidRPr="000202B8">
        <w:fldChar w:fldCharType="end"/>
      </w:r>
      <w:r w:rsidRPr="000202B8">
        <w:t xml:space="preserve"> </w:t>
      </w:r>
      <w:r w:rsidR="00055675" w:rsidRPr="000202B8">
        <w:t>show the difficulties in retaining staff over</w:t>
      </w:r>
      <w:r w:rsidR="00055675">
        <w:t xml:space="preserve"> </w:t>
      </w:r>
      <w:r w:rsidR="00D96B8E">
        <w:t>five</w:t>
      </w:r>
      <w:r w:rsidR="00055675">
        <w:t xml:space="preserve"> years in the sector for key occupation groups, since 2020.</w:t>
      </w:r>
    </w:p>
    <w:p w14:paraId="782DC53B" w14:textId="0E288031" w:rsidR="009520D5" w:rsidRDefault="005C523B" w:rsidP="005C523B">
      <w:pPr>
        <w:pStyle w:val="Caption"/>
      </w:pPr>
      <w:bookmarkStart w:id="108" w:name="_Ref184224260"/>
      <w:r w:rsidRPr="00894126">
        <w:rPr>
          <w:b/>
          <w:bCs/>
        </w:rPr>
        <w:lastRenderedPageBreak/>
        <w:t xml:space="preserve">Table </w:t>
      </w:r>
      <w:r w:rsidRPr="00894126">
        <w:rPr>
          <w:b/>
          <w:bCs/>
        </w:rPr>
        <w:fldChar w:fldCharType="begin"/>
      </w:r>
      <w:r w:rsidRPr="00894126">
        <w:rPr>
          <w:b/>
          <w:bCs/>
        </w:rPr>
        <w:instrText xml:space="preserve"> SEQ Table \* ARABIC </w:instrText>
      </w:r>
      <w:r w:rsidRPr="00894126">
        <w:rPr>
          <w:b/>
          <w:bCs/>
        </w:rPr>
        <w:fldChar w:fldCharType="separate"/>
      </w:r>
      <w:r w:rsidR="00DC68AF" w:rsidRPr="00894126">
        <w:rPr>
          <w:b/>
          <w:bCs/>
          <w:noProof/>
        </w:rPr>
        <w:t>29</w:t>
      </w:r>
      <w:r w:rsidRPr="00894126">
        <w:rPr>
          <w:b/>
          <w:bCs/>
        </w:rPr>
        <w:fldChar w:fldCharType="end"/>
      </w:r>
      <w:bookmarkEnd w:id="108"/>
      <w:r w:rsidRPr="00894126">
        <w:t xml:space="preserve"> Difficulties in retention over time – allied health professions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9 Difficulties in retention over time – allied health professions"/>
        <w:tblDescription w:val="A table showing the difficulties in the retention of allied health professionals in the sector over time. Trend data from 2020 to 2024."/>
      </w:tblPr>
      <w:tblGrid>
        <w:gridCol w:w="2036"/>
        <w:gridCol w:w="1394"/>
        <w:gridCol w:w="1395"/>
        <w:gridCol w:w="1395"/>
        <w:gridCol w:w="1395"/>
        <w:gridCol w:w="1395"/>
      </w:tblGrid>
      <w:tr w:rsidR="009520D5" w:rsidRPr="00014AE9" w14:paraId="0E10E08A" w14:textId="77777777" w:rsidTr="00AA57FF">
        <w:trPr>
          <w:trHeight w:val="300"/>
          <w:tblHeader/>
        </w:trPr>
        <w:tc>
          <w:tcPr>
            <w:tcW w:w="2036"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EF45FA6" w14:textId="77777777" w:rsidR="009520D5" w:rsidRPr="00014AE9" w:rsidRDefault="009520D5" w:rsidP="00014AE9">
            <w:pPr>
              <w:rPr>
                <w:b/>
                <w:bCs/>
              </w:rPr>
            </w:pPr>
            <w:bookmarkStart w:id="109" w:name="Title_Table_29"/>
            <w:bookmarkEnd w:id="109"/>
            <w:r w:rsidRPr="00014AE9">
              <w:rPr>
                <w:b/>
                <w:bCs/>
              </w:rPr>
              <w:t>Occupational group</w:t>
            </w:r>
          </w:p>
        </w:tc>
        <w:tc>
          <w:tcPr>
            <w:tcW w:w="1394"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006167B" w14:textId="77777777" w:rsidR="009520D5" w:rsidRPr="00014AE9" w:rsidRDefault="009520D5" w:rsidP="00014AE9">
            <w:pPr>
              <w:rPr>
                <w:b/>
                <w:bCs/>
              </w:rPr>
            </w:pPr>
            <w:r w:rsidRPr="00014AE9">
              <w:rPr>
                <w:b/>
                <w:bCs/>
              </w:rPr>
              <w:t>2020</w:t>
            </w:r>
          </w:p>
        </w:tc>
        <w:tc>
          <w:tcPr>
            <w:tcW w:w="139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149948D9" w14:textId="77777777" w:rsidR="009520D5" w:rsidRPr="00014AE9" w:rsidRDefault="009520D5" w:rsidP="00014AE9">
            <w:pPr>
              <w:rPr>
                <w:b/>
                <w:bCs/>
              </w:rPr>
            </w:pPr>
            <w:r w:rsidRPr="00014AE9">
              <w:rPr>
                <w:b/>
                <w:bCs/>
              </w:rPr>
              <w:t>2021</w:t>
            </w:r>
          </w:p>
        </w:tc>
        <w:tc>
          <w:tcPr>
            <w:tcW w:w="139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78C7057" w14:textId="77777777" w:rsidR="009520D5" w:rsidRPr="00014AE9" w:rsidRDefault="009520D5" w:rsidP="00014AE9">
            <w:pPr>
              <w:rPr>
                <w:b/>
                <w:bCs/>
              </w:rPr>
            </w:pPr>
            <w:r w:rsidRPr="00014AE9">
              <w:rPr>
                <w:b/>
                <w:bCs/>
              </w:rPr>
              <w:t>2022</w:t>
            </w:r>
          </w:p>
        </w:tc>
        <w:tc>
          <w:tcPr>
            <w:tcW w:w="139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1BEACB2" w14:textId="77777777" w:rsidR="009520D5" w:rsidRPr="00014AE9" w:rsidRDefault="009520D5" w:rsidP="00014AE9">
            <w:pPr>
              <w:rPr>
                <w:b/>
                <w:bCs/>
              </w:rPr>
            </w:pPr>
            <w:r w:rsidRPr="00014AE9">
              <w:rPr>
                <w:b/>
                <w:bCs/>
              </w:rPr>
              <w:t>2023</w:t>
            </w:r>
          </w:p>
        </w:tc>
        <w:tc>
          <w:tcPr>
            <w:tcW w:w="139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AF40281" w14:textId="77777777" w:rsidR="009520D5" w:rsidRPr="00014AE9" w:rsidRDefault="009520D5" w:rsidP="00014AE9">
            <w:pPr>
              <w:rPr>
                <w:b/>
                <w:bCs/>
              </w:rPr>
            </w:pPr>
            <w:r w:rsidRPr="00014AE9">
              <w:rPr>
                <w:b/>
                <w:bCs/>
              </w:rPr>
              <w:t>2024</w:t>
            </w:r>
          </w:p>
        </w:tc>
      </w:tr>
      <w:tr w:rsidR="009520D5" w:rsidRPr="00CE5F61" w14:paraId="71762F8D"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882C129" w14:textId="6C1CFDE7" w:rsidR="009520D5" w:rsidRPr="00CE5F61" w:rsidRDefault="009520D5" w:rsidP="00014AE9">
            <w:r w:rsidRPr="00CE5F61">
              <w:t xml:space="preserve">Occupational </w:t>
            </w:r>
            <w:r w:rsidR="00014AE9" w:rsidRPr="00CE5F61">
              <w:t>therapist</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B391020" w14:textId="77777777" w:rsidR="009520D5" w:rsidRPr="00CE5F61" w:rsidRDefault="009520D5" w:rsidP="00014AE9">
            <w:r w:rsidRPr="00CE5F61">
              <w:t>48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72C4104" w14:textId="77777777" w:rsidR="009520D5" w:rsidRPr="00CE5F61" w:rsidRDefault="009520D5" w:rsidP="00014AE9">
            <w:r w:rsidRPr="00CE5F61">
              <w:t>65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7C7026E" w14:textId="77777777" w:rsidR="009520D5" w:rsidRPr="00CE5F61" w:rsidRDefault="009520D5" w:rsidP="00014AE9">
            <w:r w:rsidRPr="00CE5F61">
              <w:t>60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8B516D8" w14:textId="77777777" w:rsidR="009520D5" w:rsidRPr="00CE5F61" w:rsidRDefault="009520D5" w:rsidP="00014AE9">
            <w:r w:rsidRPr="00CE5F61">
              <w:t>69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63A30FD" w14:textId="77777777" w:rsidR="009520D5" w:rsidRPr="00CE5F61" w:rsidRDefault="009520D5" w:rsidP="00014AE9">
            <w:r w:rsidRPr="00CE5F61">
              <w:t>63 per cent</w:t>
            </w:r>
          </w:p>
        </w:tc>
      </w:tr>
      <w:tr w:rsidR="009520D5" w:rsidRPr="00CE5F61" w14:paraId="6E91FEAE"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E0B25AA" w14:textId="77777777" w:rsidR="009520D5" w:rsidRPr="00CE5F61" w:rsidRDefault="009520D5" w:rsidP="00014AE9">
            <w:r w:rsidRPr="00CE5F61">
              <w:t>Physiotherapist</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CB0C4E5" w14:textId="77777777" w:rsidR="009520D5" w:rsidRPr="00CE5F61" w:rsidRDefault="009520D5" w:rsidP="00014AE9">
            <w:r w:rsidRPr="00CE5F61">
              <w:t>39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47E72BC" w14:textId="77777777" w:rsidR="009520D5" w:rsidRPr="00CE5F61" w:rsidRDefault="009520D5" w:rsidP="00014AE9">
            <w:r w:rsidRPr="00CE5F61">
              <w:t>55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20485B8" w14:textId="77777777" w:rsidR="009520D5" w:rsidRPr="00CE5F61" w:rsidRDefault="009520D5" w:rsidP="00014AE9">
            <w:r w:rsidRPr="00CE5F61">
              <w:t>52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28A9B24" w14:textId="77777777" w:rsidR="009520D5" w:rsidRPr="00CE5F61" w:rsidRDefault="009520D5" w:rsidP="00014AE9">
            <w:r w:rsidRPr="00CE5F61">
              <w:t>65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A6E8FDE" w14:textId="77777777" w:rsidR="009520D5" w:rsidRPr="00CE5F61" w:rsidRDefault="009520D5" w:rsidP="00014AE9">
            <w:r w:rsidRPr="00CE5F61">
              <w:t>54 per cent</w:t>
            </w:r>
          </w:p>
        </w:tc>
      </w:tr>
      <w:tr w:rsidR="009520D5" w:rsidRPr="00CE5F61" w14:paraId="7979BE3C"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1E43A8A" w14:textId="2FC54A40" w:rsidR="009520D5" w:rsidRPr="00CE5F61" w:rsidRDefault="009520D5" w:rsidP="00014AE9">
            <w:r w:rsidRPr="00CE5F61">
              <w:t xml:space="preserve">Speech </w:t>
            </w:r>
            <w:r w:rsidR="00014AE9" w:rsidRPr="00CE5F61">
              <w:t>therapist</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BA6BE89" w14:textId="77777777" w:rsidR="009520D5" w:rsidRPr="00CE5F61" w:rsidRDefault="009520D5" w:rsidP="00014AE9">
            <w:r w:rsidRPr="00CE5F61">
              <w:t>49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6E87818" w14:textId="77777777" w:rsidR="009520D5" w:rsidRPr="00CE5F61" w:rsidRDefault="009520D5" w:rsidP="00014AE9">
            <w:r w:rsidRPr="00CE5F61">
              <w:t>61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F5400E4" w14:textId="77777777" w:rsidR="009520D5" w:rsidRPr="00CE5F61" w:rsidRDefault="009520D5" w:rsidP="00014AE9">
            <w:r w:rsidRPr="00CE5F61">
              <w:t>66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4B3124F" w14:textId="77777777" w:rsidR="009520D5" w:rsidRPr="00CE5F61" w:rsidRDefault="009520D5" w:rsidP="00014AE9">
            <w:r w:rsidRPr="00CE5F61">
              <w:t>72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4D20E42" w14:textId="77777777" w:rsidR="009520D5" w:rsidRPr="00CE5F61" w:rsidRDefault="009520D5" w:rsidP="00014AE9">
            <w:r w:rsidRPr="00CE5F61">
              <w:t>64 per cent</w:t>
            </w:r>
          </w:p>
        </w:tc>
      </w:tr>
      <w:tr w:rsidR="009520D5" w:rsidRPr="00CE5F61" w14:paraId="69F60882"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E83EFD8" w14:textId="77777777" w:rsidR="009520D5" w:rsidRPr="00CE5F61" w:rsidRDefault="009520D5" w:rsidP="00014AE9">
            <w:r w:rsidRPr="00CE5F61">
              <w:t>Psychologist</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695089C" w14:textId="77777777" w:rsidR="009520D5" w:rsidRPr="00CE5F61" w:rsidRDefault="009520D5" w:rsidP="00014AE9">
            <w:r w:rsidRPr="00CE5F61">
              <w:t>48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E782C08" w14:textId="77777777" w:rsidR="009520D5" w:rsidRPr="00CE5F61" w:rsidRDefault="009520D5" w:rsidP="00014AE9">
            <w:r w:rsidRPr="00CE5F61">
              <w:t>63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33DDCD7" w14:textId="77777777" w:rsidR="009520D5" w:rsidRPr="00CE5F61" w:rsidRDefault="009520D5" w:rsidP="00014AE9">
            <w:r w:rsidRPr="00CE5F61">
              <w:t>64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74DE4D7" w14:textId="77777777" w:rsidR="009520D5" w:rsidRPr="00CE5F61" w:rsidRDefault="009520D5" w:rsidP="00014AE9">
            <w:r w:rsidRPr="00CE5F61">
              <w:t>81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25109E9" w14:textId="77777777" w:rsidR="009520D5" w:rsidRPr="00CE5F61" w:rsidRDefault="009520D5" w:rsidP="00014AE9">
            <w:r w:rsidRPr="00CE5F61">
              <w:t>57 per cent</w:t>
            </w:r>
          </w:p>
        </w:tc>
      </w:tr>
      <w:tr w:rsidR="009520D5" w:rsidRPr="00CE5F61" w14:paraId="42407094"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EB14D67" w14:textId="77777777" w:rsidR="009520D5" w:rsidRPr="00CE5F61" w:rsidRDefault="009520D5" w:rsidP="00014AE9">
            <w:r w:rsidRPr="00CE5F61">
              <w:t>Dietitian</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2F32AA8" w14:textId="77777777" w:rsidR="009520D5" w:rsidRPr="00CE5F61" w:rsidRDefault="009520D5" w:rsidP="00014AE9">
            <w:r w:rsidRPr="00CE5F61">
              <w:t>26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5B83864" w14:textId="77777777" w:rsidR="009520D5" w:rsidRPr="00CE5F61" w:rsidRDefault="009520D5" w:rsidP="00014AE9">
            <w:r w:rsidRPr="00CE5F61">
              <w:t>55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7580122" w14:textId="77777777" w:rsidR="009520D5" w:rsidRPr="00CE5F61" w:rsidRDefault="009520D5" w:rsidP="00014AE9">
            <w:r w:rsidRPr="00CE5F61">
              <w:t>48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6306704" w14:textId="77777777" w:rsidR="009520D5" w:rsidRPr="00CE5F61" w:rsidRDefault="009520D5" w:rsidP="00014AE9">
            <w:r w:rsidRPr="00CE5F61">
              <w:t>69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9ECF358" w14:textId="77777777" w:rsidR="009520D5" w:rsidRPr="00CE5F61" w:rsidRDefault="009520D5" w:rsidP="00014AE9">
            <w:r w:rsidRPr="00CE5F61">
              <w:t>39 per cent</w:t>
            </w:r>
          </w:p>
        </w:tc>
      </w:tr>
      <w:tr w:rsidR="009520D5" w:rsidRPr="00CE5F61" w14:paraId="02A2D687" w14:textId="77777777" w:rsidTr="00AA57FF">
        <w:trPr>
          <w:trHeight w:val="300"/>
        </w:trPr>
        <w:tc>
          <w:tcPr>
            <w:tcW w:w="2036"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D2BB00A" w14:textId="565C944B" w:rsidR="009520D5" w:rsidRPr="00CE5F61" w:rsidRDefault="009520D5" w:rsidP="00014AE9">
            <w:r w:rsidRPr="00CE5F61">
              <w:t xml:space="preserve">Allied </w:t>
            </w:r>
            <w:r w:rsidR="00014AE9" w:rsidRPr="00CE5F61">
              <w:t>health assistant</w:t>
            </w:r>
          </w:p>
        </w:tc>
        <w:tc>
          <w:tcPr>
            <w:tcW w:w="139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00D340B" w14:textId="77777777" w:rsidR="009520D5" w:rsidRPr="00CE5F61" w:rsidRDefault="009520D5" w:rsidP="00014AE9">
            <w:r w:rsidRPr="00CE5F61">
              <w:t>Not reported</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5925D9E" w14:textId="77777777" w:rsidR="009520D5" w:rsidRPr="00CE5F61" w:rsidRDefault="009520D5" w:rsidP="00014AE9">
            <w:r w:rsidRPr="00CE5F61">
              <w:t>Not reported</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B1E4525" w14:textId="77777777" w:rsidR="009520D5" w:rsidRPr="00CE5F61" w:rsidRDefault="009520D5" w:rsidP="00014AE9">
            <w:r w:rsidRPr="00CE5F61">
              <w:t>47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34F98F9" w14:textId="77777777" w:rsidR="009520D5" w:rsidRPr="00CE5F61" w:rsidRDefault="009520D5" w:rsidP="00014AE9">
            <w:r w:rsidRPr="00CE5F61">
              <w:t>53 per cent</w:t>
            </w:r>
          </w:p>
        </w:tc>
        <w:tc>
          <w:tcPr>
            <w:tcW w:w="139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FAC5E1A" w14:textId="77777777" w:rsidR="009520D5" w:rsidRPr="00CE5F61" w:rsidRDefault="009520D5" w:rsidP="00014AE9">
            <w:r w:rsidRPr="00CE5F61">
              <w:t>33 per cent</w:t>
            </w:r>
          </w:p>
        </w:tc>
      </w:tr>
    </w:tbl>
    <w:p w14:paraId="32B07024" w14:textId="20A61D98" w:rsidR="009520D5" w:rsidRDefault="009520D5" w:rsidP="009520D5">
      <w:pPr>
        <w:pStyle w:val="Caption"/>
      </w:pPr>
      <w:bookmarkStart w:id="110" w:name="_Ref184224292"/>
      <w:r w:rsidRPr="00894126">
        <w:rPr>
          <w:b/>
          <w:bCs/>
        </w:rPr>
        <w:t xml:space="preserve">Table </w:t>
      </w:r>
      <w:r w:rsidRPr="00894126">
        <w:rPr>
          <w:b/>
          <w:bCs/>
        </w:rPr>
        <w:fldChar w:fldCharType="begin"/>
      </w:r>
      <w:r w:rsidRPr="00894126">
        <w:rPr>
          <w:b/>
          <w:bCs/>
        </w:rPr>
        <w:instrText xml:space="preserve"> SEQ Table \* ARABIC </w:instrText>
      </w:r>
      <w:r w:rsidRPr="00894126">
        <w:rPr>
          <w:b/>
          <w:bCs/>
        </w:rPr>
        <w:fldChar w:fldCharType="separate"/>
      </w:r>
      <w:r w:rsidR="00DC68AF" w:rsidRPr="00894126">
        <w:rPr>
          <w:b/>
          <w:bCs/>
          <w:noProof/>
        </w:rPr>
        <w:t>30</w:t>
      </w:r>
      <w:r w:rsidRPr="00894126">
        <w:rPr>
          <w:b/>
          <w:bCs/>
        </w:rPr>
        <w:fldChar w:fldCharType="end"/>
      </w:r>
      <w:bookmarkEnd w:id="110"/>
      <w:r w:rsidRPr="00894126">
        <w:t xml:space="preserve"> Difficulties in retention over time – frontline workforce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30 Difficulties in retention over time – frontline workforce"/>
        <w:tblDescription w:val="A table showing the difficulties in the retention of frontline workforce in the sector over time. Trend data from 2020 to 2024."/>
      </w:tblPr>
      <w:tblGrid>
        <w:gridCol w:w="2587"/>
        <w:gridCol w:w="1284"/>
        <w:gridCol w:w="1285"/>
        <w:gridCol w:w="1284"/>
        <w:gridCol w:w="1285"/>
        <w:gridCol w:w="1285"/>
      </w:tblGrid>
      <w:tr w:rsidR="009520D5" w:rsidRPr="00014AE9" w14:paraId="4509B5E1" w14:textId="77777777" w:rsidTr="00AA57FF">
        <w:trPr>
          <w:trHeight w:val="300"/>
          <w:tblHeader/>
        </w:trPr>
        <w:tc>
          <w:tcPr>
            <w:tcW w:w="2587"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B2AC97B" w14:textId="77777777" w:rsidR="009520D5" w:rsidRPr="00014AE9" w:rsidRDefault="009520D5" w:rsidP="00014AE9">
            <w:pPr>
              <w:rPr>
                <w:b/>
                <w:bCs/>
              </w:rPr>
            </w:pPr>
            <w:bookmarkStart w:id="111" w:name="Title_Table_30"/>
            <w:bookmarkEnd w:id="111"/>
            <w:r w:rsidRPr="00014AE9">
              <w:rPr>
                <w:b/>
                <w:bCs/>
              </w:rPr>
              <w:t>Occupational group</w:t>
            </w:r>
          </w:p>
        </w:tc>
        <w:tc>
          <w:tcPr>
            <w:tcW w:w="1284"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43805CE2" w14:textId="77777777" w:rsidR="009520D5" w:rsidRPr="00014AE9" w:rsidRDefault="009520D5" w:rsidP="00014AE9">
            <w:pPr>
              <w:rPr>
                <w:b/>
                <w:bCs/>
              </w:rPr>
            </w:pPr>
            <w:r w:rsidRPr="00014AE9">
              <w:rPr>
                <w:b/>
                <w:bCs/>
              </w:rPr>
              <w:t>2020</w:t>
            </w:r>
          </w:p>
        </w:tc>
        <w:tc>
          <w:tcPr>
            <w:tcW w:w="128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E7824D7" w14:textId="77777777" w:rsidR="009520D5" w:rsidRPr="00014AE9" w:rsidRDefault="009520D5" w:rsidP="00014AE9">
            <w:pPr>
              <w:rPr>
                <w:b/>
                <w:bCs/>
              </w:rPr>
            </w:pPr>
            <w:r w:rsidRPr="00014AE9">
              <w:rPr>
                <w:b/>
                <w:bCs/>
              </w:rPr>
              <w:t>2021</w:t>
            </w:r>
          </w:p>
        </w:tc>
        <w:tc>
          <w:tcPr>
            <w:tcW w:w="1284"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22A24AC" w14:textId="77777777" w:rsidR="009520D5" w:rsidRPr="00014AE9" w:rsidRDefault="009520D5" w:rsidP="00014AE9">
            <w:pPr>
              <w:rPr>
                <w:b/>
                <w:bCs/>
              </w:rPr>
            </w:pPr>
            <w:r w:rsidRPr="00014AE9">
              <w:rPr>
                <w:b/>
                <w:bCs/>
              </w:rPr>
              <w:t>2022</w:t>
            </w:r>
          </w:p>
        </w:tc>
        <w:tc>
          <w:tcPr>
            <w:tcW w:w="128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35CDA8C9" w14:textId="77777777" w:rsidR="009520D5" w:rsidRPr="00014AE9" w:rsidRDefault="009520D5" w:rsidP="00014AE9">
            <w:pPr>
              <w:rPr>
                <w:b/>
                <w:bCs/>
              </w:rPr>
            </w:pPr>
            <w:r w:rsidRPr="00014AE9">
              <w:rPr>
                <w:b/>
                <w:bCs/>
              </w:rPr>
              <w:t>2023</w:t>
            </w:r>
          </w:p>
        </w:tc>
        <w:tc>
          <w:tcPr>
            <w:tcW w:w="1285"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DD0F9BE" w14:textId="77777777" w:rsidR="009520D5" w:rsidRPr="00014AE9" w:rsidRDefault="009520D5" w:rsidP="00014AE9">
            <w:pPr>
              <w:rPr>
                <w:b/>
                <w:bCs/>
              </w:rPr>
            </w:pPr>
            <w:r w:rsidRPr="00014AE9">
              <w:rPr>
                <w:b/>
                <w:bCs/>
              </w:rPr>
              <w:t>2024</w:t>
            </w:r>
          </w:p>
        </w:tc>
      </w:tr>
      <w:tr w:rsidR="009520D5" w:rsidRPr="00CE5F61" w14:paraId="7D38A7FD" w14:textId="77777777" w:rsidTr="00AA57FF">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09359FF" w14:textId="77777777" w:rsidR="009520D5" w:rsidRPr="00CE5F61" w:rsidRDefault="009520D5" w:rsidP="00014AE9">
            <w:r w:rsidRPr="00CE5F61">
              <w:t>Volunteers</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F05CA2" w14:textId="77777777" w:rsidR="009520D5" w:rsidRPr="00CE5F61" w:rsidRDefault="009520D5" w:rsidP="00014AE9">
            <w:r w:rsidRPr="00CE5F61">
              <w:t>Not reported</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31E9A40" w14:textId="77777777" w:rsidR="009520D5" w:rsidRPr="00CE5F61" w:rsidRDefault="009520D5" w:rsidP="00014AE9">
            <w:r w:rsidRPr="00CE5F61">
              <w:t>36 per cent</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8107C90" w14:textId="77777777" w:rsidR="009520D5" w:rsidRPr="00CE5F61" w:rsidRDefault="009520D5" w:rsidP="00014AE9">
            <w:r w:rsidRPr="00CE5F61">
              <w:t>55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B878F0F" w14:textId="77777777" w:rsidR="009520D5" w:rsidRPr="00CE5F61" w:rsidRDefault="009520D5" w:rsidP="00014AE9">
            <w:r w:rsidRPr="00CE5F61">
              <w:t>55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A87F7C1" w14:textId="77777777" w:rsidR="009520D5" w:rsidRPr="00CE5F61" w:rsidRDefault="009520D5" w:rsidP="00014AE9">
            <w:r w:rsidRPr="00CE5F61">
              <w:t>52 per cent</w:t>
            </w:r>
          </w:p>
        </w:tc>
      </w:tr>
      <w:tr w:rsidR="009520D5" w:rsidRPr="00CE5F61" w14:paraId="214A0C29" w14:textId="77777777" w:rsidTr="00AA57FF">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1917EF0" w14:textId="77777777" w:rsidR="009520D5" w:rsidRPr="00CE5F61" w:rsidRDefault="009520D5" w:rsidP="00014AE9">
            <w:r w:rsidRPr="00CE5F61">
              <w:t>Managers/supervisors of disability support worker</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5BF7190" w14:textId="77777777" w:rsidR="009520D5" w:rsidRPr="00CE5F61" w:rsidRDefault="009520D5" w:rsidP="00014AE9">
            <w:r w:rsidRPr="00CE5F61">
              <w:t>25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C7479E1" w14:textId="77777777" w:rsidR="009520D5" w:rsidRPr="00CE5F61" w:rsidRDefault="009520D5" w:rsidP="00014AE9">
            <w:r w:rsidRPr="00CE5F61">
              <w:t>31 per cent</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B748680" w14:textId="77777777" w:rsidR="009520D5" w:rsidRPr="00CE5F61" w:rsidRDefault="009520D5" w:rsidP="00014AE9">
            <w:r w:rsidRPr="00CE5F61">
              <w:t>47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058CD91" w14:textId="77777777" w:rsidR="009520D5" w:rsidRPr="00CE5F61" w:rsidRDefault="009520D5" w:rsidP="00014AE9">
            <w:r w:rsidRPr="00CE5F61">
              <w:t>39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9D31143" w14:textId="77777777" w:rsidR="009520D5" w:rsidRPr="00CE5F61" w:rsidRDefault="009520D5" w:rsidP="00014AE9">
            <w:r w:rsidRPr="00CE5F61">
              <w:t>40 per cent</w:t>
            </w:r>
          </w:p>
        </w:tc>
      </w:tr>
      <w:tr w:rsidR="009520D5" w:rsidRPr="00CE5F61" w14:paraId="7EAD4294" w14:textId="77777777" w:rsidTr="00AA57FF">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0C14C0D" w14:textId="18C5298D" w:rsidR="009520D5" w:rsidRPr="00CE5F61" w:rsidRDefault="009520D5" w:rsidP="00014AE9">
            <w:r w:rsidRPr="00CE5F61">
              <w:t xml:space="preserve">Early </w:t>
            </w:r>
            <w:r w:rsidR="00AA57FF" w:rsidRPr="00CE5F61">
              <w:t>childhood educator</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28F4952" w14:textId="77777777" w:rsidR="009520D5" w:rsidRPr="00CE5F61" w:rsidRDefault="009520D5" w:rsidP="00014AE9">
            <w:r w:rsidRPr="00CE5F61">
              <w:t>Not reported</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DFC83EA" w14:textId="77777777" w:rsidR="009520D5" w:rsidRPr="00CE5F61" w:rsidRDefault="009520D5" w:rsidP="00014AE9">
            <w:r w:rsidRPr="00CE5F61">
              <w:t>Not reported</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B5D7988" w14:textId="77777777" w:rsidR="009520D5" w:rsidRPr="00CE5F61" w:rsidRDefault="009520D5" w:rsidP="00014AE9">
            <w:r w:rsidRPr="00CE5F61">
              <w:t>71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C0C38DC" w14:textId="77777777" w:rsidR="009520D5" w:rsidRPr="00CE5F61" w:rsidRDefault="009520D5" w:rsidP="00014AE9">
            <w:r w:rsidRPr="00CE5F61">
              <w:t>61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BEE43D5" w14:textId="77777777" w:rsidR="009520D5" w:rsidRPr="00CE5F61" w:rsidRDefault="009520D5" w:rsidP="00014AE9">
            <w:r w:rsidRPr="00CE5F61">
              <w:t>51 per cent</w:t>
            </w:r>
          </w:p>
        </w:tc>
      </w:tr>
      <w:tr w:rsidR="009520D5" w:rsidRPr="00CE5F61" w14:paraId="0EF40B96" w14:textId="77777777" w:rsidTr="00AA57FF">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7E01FE0" w14:textId="77777777" w:rsidR="009520D5" w:rsidRPr="00CE5F61" w:rsidRDefault="009520D5" w:rsidP="00014AE9">
            <w:r w:rsidRPr="00CE5F61">
              <w:t>Behaviour support worker</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C33B4CF" w14:textId="77777777" w:rsidR="009520D5" w:rsidRPr="00CE5F61" w:rsidRDefault="009520D5" w:rsidP="00014AE9">
            <w:r w:rsidRPr="00CE5F61">
              <w:t>Not reported</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6AC3A45" w14:textId="77777777" w:rsidR="009520D5" w:rsidRPr="00CE5F61" w:rsidRDefault="009520D5" w:rsidP="00014AE9">
            <w:r w:rsidRPr="00CE5F61">
              <w:t>Not reported</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8445770" w14:textId="77777777" w:rsidR="009520D5" w:rsidRPr="00CE5F61" w:rsidRDefault="009520D5" w:rsidP="00014AE9">
            <w:r w:rsidRPr="00CE5F61">
              <w:t>Not reported</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0DB2C99" w14:textId="77777777" w:rsidR="009520D5" w:rsidRPr="00CE5F61" w:rsidRDefault="009520D5" w:rsidP="00014AE9">
            <w:r w:rsidRPr="00CE5F61">
              <w:t>65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34A92F1" w14:textId="77777777" w:rsidR="009520D5" w:rsidRPr="00CE5F61" w:rsidRDefault="009520D5" w:rsidP="00014AE9">
            <w:r w:rsidRPr="00CE5F61">
              <w:t>52 per cent</w:t>
            </w:r>
          </w:p>
        </w:tc>
      </w:tr>
      <w:tr w:rsidR="009520D5" w:rsidRPr="00CE5F61" w14:paraId="7C465C17" w14:textId="77777777" w:rsidTr="00AA57FF">
        <w:trPr>
          <w:trHeight w:val="300"/>
        </w:trPr>
        <w:tc>
          <w:tcPr>
            <w:tcW w:w="258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36D2507" w14:textId="0F6646B0" w:rsidR="009520D5" w:rsidRPr="00CE5F61" w:rsidRDefault="009520D5" w:rsidP="00014AE9">
            <w:r w:rsidRPr="00CE5F61">
              <w:lastRenderedPageBreak/>
              <w:t xml:space="preserve">Disability </w:t>
            </w:r>
            <w:r w:rsidR="00AA57FF" w:rsidRPr="00CE5F61">
              <w:t>support worker</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D324579" w14:textId="77777777" w:rsidR="009520D5" w:rsidRPr="00CE5F61" w:rsidRDefault="009520D5" w:rsidP="00014AE9">
            <w:r w:rsidRPr="00CE5F61">
              <w:t>40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CA01B2F" w14:textId="77777777" w:rsidR="009520D5" w:rsidRPr="00CE5F61" w:rsidRDefault="009520D5" w:rsidP="00014AE9">
            <w:r w:rsidRPr="00CE5F61">
              <w:t>44 per cent</w:t>
            </w:r>
          </w:p>
        </w:tc>
        <w:tc>
          <w:tcPr>
            <w:tcW w:w="1284"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53FA6F3" w14:textId="77777777" w:rsidR="009520D5" w:rsidRPr="00CE5F61" w:rsidRDefault="009520D5" w:rsidP="00014AE9">
            <w:r w:rsidRPr="00CE5F61">
              <w:t>56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5F4A00E" w14:textId="77777777" w:rsidR="009520D5" w:rsidRPr="00CE5F61" w:rsidRDefault="009520D5" w:rsidP="00014AE9">
            <w:r w:rsidRPr="00CE5F61">
              <w:t>53 per cent</w:t>
            </w:r>
          </w:p>
        </w:tc>
        <w:tc>
          <w:tcPr>
            <w:tcW w:w="1285"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4AD0285" w14:textId="77777777" w:rsidR="009520D5" w:rsidRPr="00CE5F61" w:rsidRDefault="009520D5" w:rsidP="00014AE9">
            <w:r w:rsidRPr="00CE5F61">
              <w:t>47 per cent</w:t>
            </w:r>
          </w:p>
        </w:tc>
      </w:tr>
    </w:tbl>
    <w:p w14:paraId="73BC0A4E" w14:textId="4664A648" w:rsidR="009520D5" w:rsidRDefault="009520D5" w:rsidP="009520D5">
      <w:pPr>
        <w:pStyle w:val="Caption"/>
      </w:pPr>
      <w:bookmarkStart w:id="112" w:name="_Ref184224327"/>
      <w:r w:rsidRPr="00894126">
        <w:rPr>
          <w:b/>
          <w:bCs/>
        </w:rPr>
        <w:t xml:space="preserve">Table </w:t>
      </w:r>
      <w:r w:rsidRPr="00894126">
        <w:rPr>
          <w:b/>
          <w:bCs/>
        </w:rPr>
        <w:fldChar w:fldCharType="begin"/>
      </w:r>
      <w:r w:rsidRPr="00894126">
        <w:rPr>
          <w:b/>
          <w:bCs/>
        </w:rPr>
        <w:instrText xml:space="preserve"> SEQ Table \* ARABIC </w:instrText>
      </w:r>
      <w:r w:rsidRPr="00894126">
        <w:rPr>
          <w:b/>
          <w:bCs/>
        </w:rPr>
        <w:fldChar w:fldCharType="separate"/>
      </w:r>
      <w:r w:rsidR="00DC68AF" w:rsidRPr="00894126">
        <w:rPr>
          <w:b/>
          <w:bCs/>
          <w:noProof/>
        </w:rPr>
        <w:t>31</w:t>
      </w:r>
      <w:r w:rsidRPr="00894126">
        <w:rPr>
          <w:b/>
          <w:bCs/>
        </w:rPr>
        <w:fldChar w:fldCharType="end"/>
      </w:r>
      <w:bookmarkEnd w:id="112"/>
      <w:r w:rsidRPr="00894126">
        <w:t xml:space="preserve"> Difficulties in retention over time – support coordinators and planners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31 Difficulties in retention over time – support coordinators and planners"/>
        <w:tblDescription w:val="A table showing the difficulties in the retention of support coordinators and planners in the sector over time. Trend data from 2020 to 2024."/>
      </w:tblPr>
      <w:tblGrid>
        <w:gridCol w:w="1747"/>
        <w:gridCol w:w="1452"/>
        <w:gridCol w:w="1453"/>
        <w:gridCol w:w="1452"/>
        <w:gridCol w:w="1453"/>
        <w:gridCol w:w="1453"/>
      </w:tblGrid>
      <w:tr w:rsidR="00AA57FF" w:rsidRPr="00014AE9" w14:paraId="6B9A4EF7" w14:textId="77777777" w:rsidTr="00AA57FF">
        <w:trPr>
          <w:trHeight w:val="300"/>
          <w:tblHeader/>
        </w:trPr>
        <w:tc>
          <w:tcPr>
            <w:tcW w:w="1747"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6836483" w14:textId="77777777" w:rsidR="009520D5" w:rsidRPr="00014AE9" w:rsidRDefault="009520D5" w:rsidP="00014AE9">
            <w:pPr>
              <w:rPr>
                <w:b/>
                <w:bCs/>
              </w:rPr>
            </w:pPr>
            <w:bookmarkStart w:id="113" w:name="Title_Table_31"/>
            <w:bookmarkEnd w:id="113"/>
            <w:r w:rsidRPr="00014AE9">
              <w:rPr>
                <w:b/>
                <w:bCs/>
              </w:rPr>
              <w:t>Occupational group</w:t>
            </w:r>
          </w:p>
        </w:tc>
        <w:tc>
          <w:tcPr>
            <w:tcW w:w="1452"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19B3C41E" w14:textId="77777777" w:rsidR="009520D5" w:rsidRPr="00014AE9" w:rsidRDefault="009520D5" w:rsidP="00014AE9">
            <w:pPr>
              <w:rPr>
                <w:b/>
                <w:bCs/>
              </w:rPr>
            </w:pPr>
            <w:r w:rsidRPr="00014AE9">
              <w:rPr>
                <w:b/>
                <w:bCs/>
              </w:rPr>
              <w:t>2020</w:t>
            </w:r>
          </w:p>
        </w:tc>
        <w:tc>
          <w:tcPr>
            <w:tcW w:w="1453"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077742A" w14:textId="77777777" w:rsidR="009520D5" w:rsidRPr="00014AE9" w:rsidRDefault="009520D5" w:rsidP="00014AE9">
            <w:pPr>
              <w:rPr>
                <w:b/>
                <w:bCs/>
              </w:rPr>
            </w:pPr>
            <w:r w:rsidRPr="00014AE9">
              <w:rPr>
                <w:b/>
                <w:bCs/>
              </w:rPr>
              <w:t>2021</w:t>
            </w:r>
          </w:p>
        </w:tc>
        <w:tc>
          <w:tcPr>
            <w:tcW w:w="1452"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21B02AC1" w14:textId="77777777" w:rsidR="009520D5" w:rsidRPr="00014AE9" w:rsidRDefault="009520D5" w:rsidP="00014AE9">
            <w:pPr>
              <w:rPr>
                <w:b/>
                <w:bCs/>
              </w:rPr>
            </w:pPr>
            <w:r w:rsidRPr="00014AE9">
              <w:rPr>
                <w:b/>
                <w:bCs/>
              </w:rPr>
              <w:t>2022</w:t>
            </w:r>
          </w:p>
        </w:tc>
        <w:tc>
          <w:tcPr>
            <w:tcW w:w="1453"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7E64EA21" w14:textId="77777777" w:rsidR="009520D5" w:rsidRPr="00014AE9" w:rsidRDefault="009520D5" w:rsidP="00014AE9">
            <w:pPr>
              <w:rPr>
                <w:b/>
                <w:bCs/>
              </w:rPr>
            </w:pPr>
            <w:r w:rsidRPr="00014AE9">
              <w:rPr>
                <w:b/>
                <w:bCs/>
              </w:rPr>
              <w:t>2023</w:t>
            </w:r>
          </w:p>
        </w:tc>
        <w:tc>
          <w:tcPr>
            <w:tcW w:w="1453"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076E0CA" w14:textId="77777777" w:rsidR="009520D5" w:rsidRPr="00014AE9" w:rsidRDefault="009520D5" w:rsidP="00014AE9">
            <w:pPr>
              <w:rPr>
                <w:b/>
                <w:bCs/>
              </w:rPr>
            </w:pPr>
            <w:r w:rsidRPr="00014AE9">
              <w:rPr>
                <w:b/>
                <w:bCs/>
              </w:rPr>
              <w:t>2024</w:t>
            </w:r>
          </w:p>
        </w:tc>
      </w:tr>
      <w:tr w:rsidR="00AA57FF" w:rsidRPr="00CE5F61" w14:paraId="3A89BA78" w14:textId="77777777" w:rsidTr="00AA57FF">
        <w:trPr>
          <w:trHeight w:val="300"/>
        </w:trPr>
        <w:tc>
          <w:tcPr>
            <w:tcW w:w="174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9D452AB" w14:textId="660825AF" w:rsidR="009520D5" w:rsidRPr="00CE5F61" w:rsidRDefault="009520D5" w:rsidP="00014AE9">
            <w:r w:rsidRPr="00CE5F61">
              <w:t xml:space="preserve">Support </w:t>
            </w:r>
            <w:r w:rsidR="00AA57FF" w:rsidRPr="00CE5F61">
              <w:t>coordinator</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1742F95" w14:textId="77777777" w:rsidR="009520D5" w:rsidRPr="00CE5F61" w:rsidRDefault="009520D5" w:rsidP="00014AE9">
            <w:r w:rsidRPr="00CE5F61">
              <w:t>27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1522937" w14:textId="77777777" w:rsidR="009520D5" w:rsidRPr="00CE5F61" w:rsidRDefault="009520D5" w:rsidP="00014AE9">
            <w:r w:rsidRPr="00CE5F61">
              <w:t>32 per cent</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80404C4" w14:textId="77777777" w:rsidR="009520D5" w:rsidRPr="00CE5F61" w:rsidRDefault="009520D5" w:rsidP="00014AE9">
            <w:r w:rsidRPr="00CE5F61">
              <w:t>42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D3793B8" w14:textId="77777777" w:rsidR="009520D5" w:rsidRPr="00CE5F61" w:rsidRDefault="009520D5" w:rsidP="00014AE9">
            <w:r w:rsidRPr="00CE5F61">
              <w:t>48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82ABC62" w14:textId="77777777" w:rsidR="009520D5" w:rsidRPr="00CE5F61" w:rsidRDefault="009520D5" w:rsidP="00014AE9">
            <w:r w:rsidRPr="00CE5F61">
              <w:t>39 per cent</w:t>
            </w:r>
          </w:p>
        </w:tc>
      </w:tr>
      <w:tr w:rsidR="00AA57FF" w:rsidRPr="00CE5F61" w14:paraId="7391625B" w14:textId="77777777" w:rsidTr="00AA57FF">
        <w:trPr>
          <w:trHeight w:val="300"/>
        </w:trPr>
        <w:tc>
          <w:tcPr>
            <w:tcW w:w="174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0C35047" w14:textId="105718E3" w:rsidR="009520D5" w:rsidRPr="00CE5F61" w:rsidRDefault="009520D5" w:rsidP="00014AE9">
            <w:r w:rsidRPr="00CE5F61">
              <w:t>LAC/</w:t>
            </w:r>
            <w:r w:rsidR="00AA57FF" w:rsidRPr="00CE5F61">
              <w:t>planner</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FEBA6F5" w14:textId="77777777" w:rsidR="009520D5" w:rsidRPr="00CE5F61" w:rsidRDefault="009520D5" w:rsidP="00014AE9">
            <w:r w:rsidRPr="00CE5F61">
              <w:t>36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E70E5D0" w14:textId="77777777" w:rsidR="009520D5" w:rsidRPr="00CE5F61" w:rsidRDefault="009520D5" w:rsidP="00014AE9">
            <w:r w:rsidRPr="00CE5F61">
              <w:t>39 per cent</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C2D2A1E" w14:textId="77777777" w:rsidR="009520D5" w:rsidRPr="00CE5F61" w:rsidRDefault="009520D5" w:rsidP="00014AE9">
            <w:r w:rsidRPr="00CE5F61">
              <w:t>39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BB5744D" w14:textId="77777777" w:rsidR="009520D5" w:rsidRPr="00CE5F61" w:rsidRDefault="009520D5" w:rsidP="00014AE9">
            <w:r w:rsidRPr="00CE5F61">
              <w:t>60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B3B78AD" w14:textId="77777777" w:rsidR="009520D5" w:rsidRPr="00CE5F61" w:rsidRDefault="009520D5" w:rsidP="00014AE9">
            <w:r w:rsidRPr="00CE5F61">
              <w:t>47 per cent</w:t>
            </w:r>
          </w:p>
        </w:tc>
      </w:tr>
      <w:tr w:rsidR="00AA57FF" w:rsidRPr="00CE5F61" w14:paraId="5F7B9DFB" w14:textId="77777777" w:rsidTr="00AA57FF">
        <w:trPr>
          <w:trHeight w:val="300"/>
        </w:trPr>
        <w:tc>
          <w:tcPr>
            <w:tcW w:w="1747"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B773146" w14:textId="4791A9FC" w:rsidR="009520D5" w:rsidRPr="00CE5F61" w:rsidRDefault="009520D5" w:rsidP="00014AE9">
            <w:r w:rsidRPr="00CE5F61">
              <w:t xml:space="preserve">Plan </w:t>
            </w:r>
            <w:r w:rsidR="00AA57FF" w:rsidRPr="00CE5F61">
              <w:t>manager</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6AA19C8" w14:textId="77777777" w:rsidR="009520D5" w:rsidRPr="00CE5F61" w:rsidRDefault="009520D5" w:rsidP="00014AE9">
            <w:r w:rsidRPr="00CE5F61">
              <w:t>Not reported</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6ABCED9" w14:textId="77777777" w:rsidR="009520D5" w:rsidRPr="00CE5F61" w:rsidRDefault="009520D5" w:rsidP="00014AE9">
            <w:r w:rsidRPr="00CE5F61">
              <w:t>Not reported</w:t>
            </w:r>
          </w:p>
        </w:tc>
        <w:tc>
          <w:tcPr>
            <w:tcW w:w="1452"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82B0F5B" w14:textId="77777777" w:rsidR="009520D5" w:rsidRPr="00CE5F61" w:rsidRDefault="009520D5" w:rsidP="00014AE9">
            <w:r w:rsidRPr="00CE5F61">
              <w:t>38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6F8FC90" w14:textId="77777777" w:rsidR="009520D5" w:rsidRPr="00CE5F61" w:rsidRDefault="009520D5" w:rsidP="00014AE9">
            <w:r w:rsidRPr="00CE5F61">
              <w:t>24 per cent</w:t>
            </w:r>
          </w:p>
        </w:tc>
        <w:tc>
          <w:tcPr>
            <w:tcW w:w="1453"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8FDE660" w14:textId="77777777" w:rsidR="009520D5" w:rsidRPr="00CE5F61" w:rsidRDefault="009520D5" w:rsidP="00014AE9">
            <w:r w:rsidRPr="00CE5F61">
              <w:t>15 per cent</w:t>
            </w:r>
          </w:p>
        </w:tc>
      </w:tr>
    </w:tbl>
    <w:p w14:paraId="133D3ADA" w14:textId="33493E8F" w:rsidR="009520D5" w:rsidRDefault="009520D5" w:rsidP="009520D5">
      <w:pPr>
        <w:pStyle w:val="Caption"/>
      </w:pPr>
      <w:bookmarkStart w:id="114" w:name="_Ref184224340"/>
      <w:r w:rsidRPr="00D3345B">
        <w:rPr>
          <w:b/>
          <w:bCs/>
        </w:rPr>
        <w:t xml:space="preserve">Table </w:t>
      </w:r>
      <w:r w:rsidRPr="00D3345B">
        <w:rPr>
          <w:b/>
          <w:bCs/>
        </w:rPr>
        <w:fldChar w:fldCharType="begin"/>
      </w:r>
      <w:r w:rsidRPr="00D3345B">
        <w:rPr>
          <w:b/>
          <w:bCs/>
        </w:rPr>
        <w:instrText xml:space="preserve"> SEQ Table \* ARABIC </w:instrText>
      </w:r>
      <w:r w:rsidRPr="00D3345B">
        <w:rPr>
          <w:b/>
          <w:bCs/>
        </w:rPr>
        <w:fldChar w:fldCharType="separate"/>
      </w:r>
      <w:r w:rsidR="00DC68AF" w:rsidRPr="00D3345B">
        <w:rPr>
          <w:b/>
          <w:bCs/>
          <w:noProof/>
        </w:rPr>
        <w:t>32</w:t>
      </w:r>
      <w:r w:rsidRPr="00D3345B">
        <w:rPr>
          <w:b/>
          <w:bCs/>
        </w:rPr>
        <w:fldChar w:fldCharType="end"/>
      </w:r>
      <w:bookmarkEnd w:id="114"/>
      <w:r w:rsidRPr="00D3345B">
        <w:t xml:space="preserve"> Difficulties in retention over time – administration/back office</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32 Difficulties in retention over time – administration/back office"/>
        <w:tblDescription w:val="A table showing the difficulties in the retention of administration/back office in the sector over time. Trend data from 2020 to 2024."/>
      </w:tblPr>
      <w:tblGrid>
        <w:gridCol w:w="2308"/>
        <w:gridCol w:w="1340"/>
        <w:gridCol w:w="1340"/>
        <w:gridCol w:w="1341"/>
        <w:gridCol w:w="1340"/>
        <w:gridCol w:w="1341"/>
      </w:tblGrid>
      <w:tr w:rsidR="009520D5" w:rsidRPr="00014AE9" w14:paraId="279665BB" w14:textId="77777777" w:rsidTr="00AA57FF">
        <w:trPr>
          <w:trHeight w:val="300"/>
          <w:tblHeader/>
        </w:trPr>
        <w:tc>
          <w:tcPr>
            <w:tcW w:w="2308"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1964330C" w14:textId="77777777" w:rsidR="009520D5" w:rsidRPr="00014AE9" w:rsidRDefault="009520D5" w:rsidP="00014AE9">
            <w:pPr>
              <w:rPr>
                <w:b/>
                <w:bCs/>
              </w:rPr>
            </w:pPr>
            <w:bookmarkStart w:id="115" w:name="Title_Table_32"/>
            <w:bookmarkEnd w:id="115"/>
            <w:r w:rsidRPr="00014AE9">
              <w:rPr>
                <w:b/>
                <w:bCs/>
              </w:rPr>
              <w:t>Occupational group</w:t>
            </w:r>
          </w:p>
        </w:tc>
        <w:tc>
          <w:tcPr>
            <w:tcW w:w="134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3406FFF1" w14:textId="77777777" w:rsidR="009520D5" w:rsidRPr="00014AE9" w:rsidRDefault="009520D5" w:rsidP="00014AE9">
            <w:pPr>
              <w:rPr>
                <w:b/>
                <w:bCs/>
              </w:rPr>
            </w:pPr>
            <w:r w:rsidRPr="00014AE9">
              <w:rPr>
                <w:b/>
                <w:bCs/>
              </w:rPr>
              <w:t>2020</w:t>
            </w:r>
          </w:p>
        </w:tc>
        <w:tc>
          <w:tcPr>
            <w:tcW w:w="134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B959D51" w14:textId="77777777" w:rsidR="009520D5" w:rsidRPr="00014AE9" w:rsidRDefault="009520D5" w:rsidP="00014AE9">
            <w:pPr>
              <w:rPr>
                <w:b/>
                <w:bCs/>
              </w:rPr>
            </w:pPr>
            <w:r w:rsidRPr="00014AE9">
              <w:rPr>
                <w:b/>
                <w:bCs/>
              </w:rPr>
              <w:t>2021</w:t>
            </w:r>
          </w:p>
        </w:tc>
        <w:tc>
          <w:tcPr>
            <w:tcW w:w="1341"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05C0DAF6" w14:textId="77777777" w:rsidR="009520D5" w:rsidRPr="00014AE9" w:rsidRDefault="009520D5" w:rsidP="00014AE9">
            <w:pPr>
              <w:rPr>
                <w:b/>
                <w:bCs/>
              </w:rPr>
            </w:pPr>
            <w:r w:rsidRPr="00014AE9">
              <w:rPr>
                <w:b/>
                <w:bCs/>
              </w:rPr>
              <w:t>2022</w:t>
            </w:r>
          </w:p>
        </w:tc>
        <w:tc>
          <w:tcPr>
            <w:tcW w:w="1340"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529CBB20" w14:textId="77777777" w:rsidR="009520D5" w:rsidRPr="00014AE9" w:rsidRDefault="009520D5" w:rsidP="00014AE9">
            <w:pPr>
              <w:rPr>
                <w:b/>
                <w:bCs/>
              </w:rPr>
            </w:pPr>
            <w:r w:rsidRPr="00014AE9">
              <w:rPr>
                <w:b/>
                <w:bCs/>
              </w:rPr>
              <w:t>2023</w:t>
            </w:r>
          </w:p>
        </w:tc>
        <w:tc>
          <w:tcPr>
            <w:tcW w:w="1341" w:type="dxa"/>
            <w:tcBorders>
              <w:top w:val="single" w:sz="6" w:space="0" w:color="auto"/>
              <w:left w:val="single" w:sz="6" w:space="0" w:color="auto"/>
              <w:bottom w:val="single" w:sz="6" w:space="0" w:color="auto"/>
              <w:right w:val="single" w:sz="6" w:space="0" w:color="auto"/>
            </w:tcBorders>
            <w:shd w:val="clear" w:color="auto" w:fill="D9D9D9"/>
            <w:tcMar>
              <w:left w:w="113" w:type="dxa"/>
              <w:right w:w="113" w:type="dxa"/>
            </w:tcMar>
            <w:vAlign w:val="center"/>
            <w:hideMark/>
          </w:tcPr>
          <w:p w14:paraId="61C39776" w14:textId="77777777" w:rsidR="009520D5" w:rsidRPr="00014AE9" w:rsidRDefault="009520D5" w:rsidP="00014AE9">
            <w:pPr>
              <w:rPr>
                <w:b/>
                <w:bCs/>
              </w:rPr>
            </w:pPr>
            <w:r w:rsidRPr="00014AE9">
              <w:rPr>
                <w:b/>
                <w:bCs/>
              </w:rPr>
              <w:t>2024</w:t>
            </w:r>
          </w:p>
        </w:tc>
      </w:tr>
      <w:tr w:rsidR="009520D5" w:rsidRPr="00CE5F61" w14:paraId="636F4133" w14:textId="77777777" w:rsidTr="00AA57FF">
        <w:trPr>
          <w:trHeight w:val="300"/>
        </w:trPr>
        <w:tc>
          <w:tcPr>
            <w:tcW w:w="230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FC984EF" w14:textId="77777777" w:rsidR="009520D5" w:rsidRPr="00CE5F61" w:rsidRDefault="009520D5" w:rsidP="00014AE9">
            <w:r w:rsidRPr="00CE5F61">
              <w:t>Marketing/business development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0FDA20A" w14:textId="77777777" w:rsidR="009520D5" w:rsidRPr="00CE5F61" w:rsidRDefault="009520D5" w:rsidP="00014AE9">
            <w:r w:rsidRPr="00CE5F61">
              <w:t>13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D3E0B9D" w14:textId="77777777" w:rsidR="009520D5" w:rsidRPr="00CE5F61" w:rsidRDefault="009520D5" w:rsidP="00014AE9">
            <w:r w:rsidRPr="00CE5F61">
              <w:t>19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0503F6E" w14:textId="77777777" w:rsidR="009520D5" w:rsidRPr="00CE5F61" w:rsidRDefault="009520D5" w:rsidP="00014AE9">
            <w:r w:rsidRPr="00CE5F61">
              <w:t>36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19E498C" w14:textId="77777777" w:rsidR="009520D5" w:rsidRPr="00CE5F61" w:rsidRDefault="009520D5" w:rsidP="00014AE9">
            <w:r w:rsidRPr="00CE5F61">
              <w:t>32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078555A" w14:textId="77777777" w:rsidR="009520D5" w:rsidRPr="00CE5F61" w:rsidRDefault="009520D5" w:rsidP="00014AE9">
            <w:r w:rsidRPr="00CE5F61">
              <w:t>23 per cent</w:t>
            </w:r>
          </w:p>
        </w:tc>
      </w:tr>
      <w:tr w:rsidR="009520D5" w:rsidRPr="00CE5F61" w14:paraId="5C9C0598" w14:textId="77777777" w:rsidTr="00AA57FF">
        <w:trPr>
          <w:trHeight w:val="300"/>
        </w:trPr>
        <w:tc>
          <w:tcPr>
            <w:tcW w:w="230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E2523C2" w14:textId="35042150" w:rsidR="009520D5" w:rsidRPr="00CE5F61" w:rsidRDefault="009520D5" w:rsidP="00014AE9">
            <w:r w:rsidRPr="00CE5F61">
              <w:t>Finance/</w:t>
            </w:r>
            <w:r w:rsidR="00AA57FF" w:rsidRPr="00CE5F61">
              <w:t>accounting</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1D9A856" w14:textId="77777777" w:rsidR="009520D5" w:rsidRPr="00CE5F61" w:rsidRDefault="009520D5" w:rsidP="00014AE9">
            <w:r w:rsidRPr="00CE5F61">
              <w:t>12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61BC370" w14:textId="77777777" w:rsidR="009520D5" w:rsidRPr="00CE5F61" w:rsidRDefault="009520D5" w:rsidP="00014AE9">
            <w:r w:rsidRPr="00CE5F61">
              <w:t>12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2254B25" w14:textId="77777777" w:rsidR="009520D5" w:rsidRPr="00CE5F61" w:rsidRDefault="009520D5" w:rsidP="00014AE9">
            <w:r w:rsidRPr="00CE5F61">
              <w:t>36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1BC0B1C5" w14:textId="77777777" w:rsidR="009520D5" w:rsidRPr="00CE5F61" w:rsidRDefault="009520D5" w:rsidP="00014AE9">
            <w:r w:rsidRPr="00CE5F61">
              <w:t>25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A7098A0" w14:textId="77777777" w:rsidR="009520D5" w:rsidRPr="00CE5F61" w:rsidRDefault="009520D5" w:rsidP="00014AE9">
            <w:r w:rsidRPr="00CE5F61">
              <w:t>20 per cent</w:t>
            </w:r>
          </w:p>
        </w:tc>
      </w:tr>
      <w:tr w:rsidR="009520D5" w:rsidRPr="00CE5F61" w14:paraId="38BCD714" w14:textId="77777777" w:rsidTr="00AA57FF">
        <w:trPr>
          <w:trHeight w:val="300"/>
        </w:trPr>
        <w:tc>
          <w:tcPr>
            <w:tcW w:w="230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88F7F65" w14:textId="291ACC8C" w:rsidR="009520D5" w:rsidRPr="00CE5F61" w:rsidRDefault="009520D5" w:rsidP="00014AE9">
            <w:r w:rsidRPr="00CE5F61">
              <w:t xml:space="preserve">Information </w:t>
            </w:r>
            <w:r w:rsidR="00AA57FF" w:rsidRPr="00CE5F61">
              <w:t>technology</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4172419" w14:textId="77777777" w:rsidR="009520D5" w:rsidRPr="00CE5F61" w:rsidRDefault="009520D5" w:rsidP="00014AE9">
            <w:r w:rsidRPr="00CE5F61">
              <w:t>13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66D0CE30" w14:textId="77777777" w:rsidR="009520D5" w:rsidRPr="00CE5F61" w:rsidRDefault="009520D5" w:rsidP="00014AE9">
            <w:r w:rsidRPr="00CE5F61">
              <w:t>22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7382F1FC" w14:textId="77777777" w:rsidR="009520D5" w:rsidRPr="00CE5F61" w:rsidRDefault="009520D5" w:rsidP="00014AE9">
            <w:r w:rsidRPr="00CE5F61">
              <w:t>41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018A35A1" w14:textId="77777777" w:rsidR="009520D5" w:rsidRPr="00CE5F61" w:rsidRDefault="009520D5" w:rsidP="00014AE9">
            <w:r w:rsidRPr="00CE5F61">
              <w:t>28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E381650" w14:textId="77777777" w:rsidR="009520D5" w:rsidRPr="00CE5F61" w:rsidRDefault="009520D5" w:rsidP="00014AE9">
            <w:r w:rsidRPr="00CE5F61">
              <w:t>19 per cent</w:t>
            </w:r>
          </w:p>
        </w:tc>
      </w:tr>
      <w:tr w:rsidR="009520D5" w:rsidRPr="00CE5F61" w14:paraId="2B8BDD4A" w14:textId="77777777" w:rsidTr="00AA57FF">
        <w:trPr>
          <w:trHeight w:val="300"/>
        </w:trPr>
        <w:tc>
          <w:tcPr>
            <w:tcW w:w="2308"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F93DB57" w14:textId="37BBBE1F" w:rsidR="009520D5" w:rsidRPr="00CE5F61" w:rsidRDefault="009520D5" w:rsidP="00014AE9">
            <w:r w:rsidRPr="00CE5F61">
              <w:t>HR/</w:t>
            </w:r>
            <w:r w:rsidR="00AA57FF" w:rsidRPr="00CE5F61">
              <w:t>workforce development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26527C43" w14:textId="77777777" w:rsidR="009520D5" w:rsidRPr="00CE5F61" w:rsidRDefault="009520D5" w:rsidP="00014AE9">
            <w:r w:rsidRPr="00CE5F61">
              <w:t>17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4575E025" w14:textId="77777777" w:rsidR="009520D5" w:rsidRPr="00CE5F61" w:rsidRDefault="009520D5" w:rsidP="00014AE9">
            <w:r w:rsidRPr="00CE5F61">
              <w:t>26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624C20F" w14:textId="77777777" w:rsidR="009520D5" w:rsidRPr="00CE5F61" w:rsidRDefault="009520D5" w:rsidP="00014AE9">
            <w:r w:rsidRPr="00CE5F61">
              <w:t>48 per cent</w:t>
            </w:r>
          </w:p>
        </w:tc>
        <w:tc>
          <w:tcPr>
            <w:tcW w:w="1340"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5B359263" w14:textId="77777777" w:rsidR="009520D5" w:rsidRPr="00CE5F61" w:rsidRDefault="009520D5" w:rsidP="00014AE9">
            <w:r w:rsidRPr="00CE5F61">
              <w:t>36 per cent</w:t>
            </w:r>
          </w:p>
        </w:tc>
        <w:tc>
          <w:tcPr>
            <w:tcW w:w="1341" w:type="dxa"/>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hideMark/>
          </w:tcPr>
          <w:p w14:paraId="313DD11C" w14:textId="77777777" w:rsidR="009520D5" w:rsidRPr="00CE5F61" w:rsidRDefault="009520D5" w:rsidP="00014AE9">
            <w:r w:rsidRPr="00CE5F61">
              <w:t>32 per cent</w:t>
            </w:r>
          </w:p>
        </w:tc>
      </w:tr>
    </w:tbl>
    <w:p w14:paraId="65108BC3" w14:textId="748451A6" w:rsidR="004316F3" w:rsidRDefault="05B79D20" w:rsidP="009520D5">
      <w:pPr>
        <w:spacing w:before="360"/>
      </w:pPr>
      <w:r w:rsidRPr="6AD0082D">
        <w:t>In open text responses about the key challenges that organisations face in retaining staff, respondents tended to express their concerns about competition and poaching of staff:</w:t>
      </w:r>
    </w:p>
    <w:p w14:paraId="35EA9810" w14:textId="45DA5C37" w:rsidR="05B79D20" w:rsidRDefault="05B79D20" w:rsidP="00E33915">
      <w:pPr>
        <w:pStyle w:val="Quote"/>
      </w:pPr>
      <w:r w:rsidRPr="6AD0082D">
        <w:lastRenderedPageBreak/>
        <w:t xml:space="preserve">“It’s a competitive environment. Good people do get head hunted and tapped on the shoulder by other organisations </w:t>
      </w:r>
      <w:r w:rsidRPr="6AD0082D">
        <w:rPr>
          <w:rFonts w:ascii="Segoe UI Symbol" w:eastAsia="Segoe UI Symbol" w:hAnsi="Segoe UI Symbol" w:cs="Segoe UI Symbol"/>
          <w:lang w:val="en-US"/>
        </w:rPr>
        <w:t>⏤</w:t>
      </w:r>
      <w:r w:rsidRPr="6AD0082D">
        <w:t xml:space="preserve"> both inside and outside the sector.”</w:t>
      </w:r>
    </w:p>
    <w:p w14:paraId="7DF3EF2A" w14:textId="77777777" w:rsidR="004316F3" w:rsidRDefault="05B79D20" w:rsidP="00E33915">
      <w:pPr>
        <w:pStyle w:val="QuoteAuthor"/>
      </w:pPr>
      <w:r w:rsidRPr="6AD0082D">
        <w:t>WA large not-for-profit</w:t>
      </w:r>
    </w:p>
    <w:p w14:paraId="058420B9" w14:textId="46CE9341" w:rsidR="05B79D20" w:rsidRDefault="05B79D20" w:rsidP="00E33915">
      <w:pPr>
        <w:pStyle w:val="Quote"/>
      </w:pPr>
      <w:r w:rsidRPr="6AD0082D">
        <w:t>“Competition from other sectors who can pay more.”</w:t>
      </w:r>
    </w:p>
    <w:p w14:paraId="19B29869" w14:textId="77777777" w:rsidR="004316F3" w:rsidRDefault="05B79D20" w:rsidP="00E33915">
      <w:pPr>
        <w:pStyle w:val="QuoteAuthor"/>
      </w:pPr>
      <w:r w:rsidRPr="6AD0082D">
        <w:t>WA small not-for-profit</w:t>
      </w:r>
    </w:p>
    <w:p w14:paraId="633B5D08" w14:textId="122B1433" w:rsidR="05B79D20" w:rsidRDefault="05B79D20" w:rsidP="00E33915">
      <w:pPr>
        <w:pStyle w:val="Quote"/>
      </w:pPr>
      <w:r w:rsidRPr="6AD0082D">
        <w:t>“Other organisations trying to poach staff at every opportunity.”</w:t>
      </w:r>
    </w:p>
    <w:p w14:paraId="1CC8EBE9" w14:textId="77777777" w:rsidR="004316F3" w:rsidRDefault="05B79D20" w:rsidP="00E33915">
      <w:pPr>
        <w:pStyle w:val="QuoteAuthor"/>
      </w:pPr>
      <w:r w:rsidRPr="6AD0082D">
        <w:t>WA small not-for-profit</w:t>
      </w:r>
    </w:p>
    <w:p w14:paraId="0B441822" w14:textId="738DAA3D" w:rsidR="05B79D20" w:rsidRDefault="05B79D20" w:rsidP="00E33915">
      <w:pPr>
        <w:pStyle w:val="Quote"/>
      </w:pPr>
      <w:r w:rsidRPr="6AD0082D">
        <w:t>“Staff are leaving to set up their own business, and in some cases take some other staff with them.”</w:t>
      </w:r>
    </w:p>
    <w:p w14:paraId="526490AC" w14:textId="77777777" w:rsidR="004316F3" w:rsidRDefault="05B79D20" w:rsidP="00E33915">
      <w:pPr>
        <w:pStyle w:val="QuoteAuthor"/>
      </w:pPr>
      <w:r w:rsidRPr="6766CE18">
        <w:t>T</w:t>
      </w:r>
      <w:r w:rsidR="3156CA57" w:rsidRPr="6766CE18">
        <w:t>as</w:t>
      </w:r>
      <w:r w:rsidRPr="6AD0082D">
        <w:t xml:space="preserve"> large not-for-profit</w:t>
      </w:r>
    </w:p>
    <w:p w14:paraId="14F25D23" w14:textId="77777777" w:rsidR="004316F3" w:rsidRDefault="05B79D20" w:rsidP="0097062A">
      <w:r w:rsidRPr="6AD0082D">
        <w:t>Many respondents raised the challenge of low pay rates:</w:t>
      </w:r>
    </w:p>
    <w:p w14:paraId="207235B4" w14:textId="770EFC4F" w:rsidR="05B79D20" w:rsidRDefault="05B79D20" w:rsidP="00E33915">
      <w:pPr>
        <w:pStyle w:val="Quote"/>
      </w:pPr>
      <w:r w:rsidRPr="6AD0082D">
        <w:t>“The pay rate I provide is very low.”</w:t>
      </w:r>
    </w:p>
    <w:p w14:paraId="4DD43237" w14:textId="77777777" w:rsidR="004316F3" w:rsidRDefault="05B79D20" w:rsidP="00E33915">
      <w:pPr>
        <w:pStyle w:val="QuoteAuthor"/>
      </w:pPr>
      <w:r w:rsidRPr="6AD0082D">
        <w:t>WA very small social benefit</w:t>
      </w:r>
    </w:p>
    <w:p w14:paraId="4C9293E4" w14:textId="457C54F6" w:rsidR="05B79D20" w:rsidRDefault="05B79D20" w:rsidP="00E33915">
      <w:pPr>
        <w:pStyle w:val="Quote"/>
      </w:pPr>
      <w:r w:rsidRPr="6AD0082D">
        <w:t>“As noted previously, the pay levels are an issue. This would be the main challenge.”</w:t>
      </w:r>
    </w:p>
    <w:p w14:paraId="4099D748" w14:textId="77777777" w:rsidR="004316F3" w:rsidRDefault="05B79D20" w:rsidP="00E33915">
      <w:pPr>
        <w:pStyle w:val="QuoteAuthor"/>
      </w:pPr>
      <w:r w:rsidRPr="6AD0082D">
        <w:t>SA small for-profit</w:t>
      </w:r>
    </w:p>
    <w:p w14:paraId="0D77A599" w14:textId="532B5648" w:rsidR="05B79D20" w:rsidRDefault="05B79D20" w:rsidP="00E33915">
      <w:pPr>
        <w:pStyle w:val="Quote"/>
      </w:pPr>
      <w:r w:rsidRPr="6AD0082D">
        <w:t>“Entry level position with low pay, often seen as a secondary job to make ends meet during cost-of-living pressures.”</w:t>
      </w:r>
    </w:p>
    <w:p w14:paraId="296C1ABA" w14:textId="77777777" w:rsidR="004316F3" w:rsidRDefault="05B79D20" w:rsidP="00E33915">
      <w:pPr>
        <w:pStyle w:val="QuoteAuthor"/>
      </w:pPr>
      <w:r w:rsidRPr="6AD0082D">
        <w:t>NSW large not-for-profit</w:t>
      </w:r>
    </w:p>
    <w:p w14:paraId="3B6B1B1E" w14:textId="77777777" w:rsidR="004316F3" w:rsidRDefault="05B79D20" w:rsidP="0097062A">
      <w:r w:rsidRPr="6AD0082D">
        <w:t>Several respondents reported workload and staff burnout and inconsistent work hours as challenges:</w:t>
      </w:r>
    </w:p>
    <w:p w14:paraId="36101F6B" w14:textId="334A1096" w:rsidR="05B79D20" w:rsidRDefault="05B79D20" w:rsidP="00E33915">
      <w:pPr>
        <w:pStyle w:val="Quote"/>
      </w:pPr>
      <w:r w:rsidRPr="6AD0082D">
        <w:t>“For roles like support workers and disability care coordinators, high workloads and emotional stress can lead to burnout and turnover.”</w:t>
      </w:r>
    </w:p>
    <w:p w14:paraId="5F5CF40F" w14:textId="77777777" w:rsidR="004316F3" w:rsidRDefault="05B79D20" w:rsidP="00E33915">
      <w:pPr>
        <w:pStyle w:val="QuoteAuthor"/>
      </w:pPr>
      <w:r w:rsidRPr="6AD0082D">
        <w:t>NSW very small for-profit</w:t>
      </w:r>
    </w:p>
    <w:p w14:paraId="17A2A73E" w14:textId="16FC1276" w:rsidR="05B79D20" w:rsidRDefault="05B79D20" w:rsidP="00E33915">
      <w:pPr>
        <w:pStyle w:val="Quote"/>
      </w:pPr>
      <w:r w:rsidRPr="6AD0082D">
        <w:lastRenderedPageBreak/>
        <w:t xml:space="preserve">“Attractiveness of easier industries, occupations </w:t>
      </w:r>
      <w:r w:rsidRPr="6AD0082D">
        <w:rPr>
          <w:rFonts w:ascii="Segoe UI Symbol" w:eastAsia="Segoe UI Symbol" w:hAnsi="Segoe UI Symbol" w:cs="Segoe UI Symbol"/>
          <w:lang w:val="en-US"/>
        </w:rPr>
        <w:t>⏤</w:t>
      </w:r>
      <w:r w:rsidRPr="6AD0082D">
        <w:t xml:space="preserve"> the stress expected of staff to hold is unrealistic.”</w:t>
      </w:r>
    </w:p>
    <w:p w14:paraId="3C43B0B5" w14:textId="77777777" w:rsidR="004316F3" w:rsidRDefault="408711E6" w:rsidP="00E33915">
      <w:pPr>
        <w:pStyle w:val="QuoteAuthor"/>
      </w:pPr>
      <w:r w:rsidRPr="6766CE18">
        <w:t>Vic</w:t>
      </w:r>
      <w:r w:rsidR="05B79D20" w:rsidRPr="6AD0082D">
        <w:t xml:space="preserve"> very small sole trader</w:t>
      </w:r>
    </w:p>
    <w:p w14:paraId="20422939" w14:textId="0C0BD053" w:rsidR="05B79D20" w:rsidRDefault="05B79D20" w:rsidP="00E33915">
      <w:pPr>
        <w:pStyle w:val="Quote"/>
      </w:pPr>
      <w:r w:rsidRPr="6AD0082D">
        <w:t>“Stress and workload.”</w:t>
      </w:r>
    </w:p>
    <w:p w14:paraId="7FFF518B" w14:textId="77777777" w:rsidR="004316F3" w:rsidRDefault="05B79D20" w:rsidP="00E33915">
      <w:pPr>
        <w:pStyle w:val="QuoteAuthor"/>
      </w:pPr>
      <w:r w:rsidRPr="6AD0082D">
        <w:t>SA medium not-for-profit</w:t>
      </w:r>
    </w:p>
    <w:p w14:paraId="101B281B" w14:textId="0BDEDE35" w:rsidR="05B79D20" w:rsidRDefault="05B79D20" w:rsidP="00E33915">
      <w:pPr>
        <w:pStyle w:val="Quote"/>
      </w:pPr>
      <w:r w:rsidRPr="6AD0082D">
        <w:t>“Rostering and burn out.”</w:t>
      </w:r>
    </w:p>
    <w:p w14:paraId="6AFEECD2" w14:textId="77777777" w:rsidR="004316F3" w:rsidRDefault="49409C09" w:rsidP="00E33915">
      <w:pPr>
        <w:pStyle w:val="QuoteAuthor"/>
      </w:pPr>
      <w:r w:rsidRPr="6766CE18">
        <w:t>Vic</w:t>
      </w:r>
      <w:r w:rsidR="05B79D20" w:rsidRPr="6AD0082D">
        <w:t xml:space="preserve"> medium not-for-profit</w:t>
      </w:r>
    </w:p>
    <w:p w14:paraId="55EB33A8" w14:textId="00E84DD7" w:rsidR="05B79D20" w:rsidRDefault="05B79D20" w:rsidP="00E33915">
      <w:pPr>
        <w:pStyle w:val="Quote"/>
      </w:pPr>
      <w:r w:rsidRPr="6AD0082D">
        <w:t>“Having the hours support workers want or need.”</w:t>
      </w:r>
    </w:p>
    <w:p w14:paraId="5D24925F" w14:textId="77777777" w:rsidR="004316F3" w:rsidRDefault="05B79D20" w:rsidP="00E33915">
      <w:pPr>
        <w:pStyle w:val="QuoteAuthor"/>
      </w:pPr>
      <w:r w:rsidRPr="6AD0082D">
        <w:t>NSW very small for-profit</w:t>
      </w:r>
    </w:p>
    <w:p w14:paraId="3000417B" w14:textId="50D02B93" w:rsidR="05B79D20" w:rsidRDefault="05B79D20" w:rsidP="00E33915">
      <w:pPr>
        <w:pStyle w:val="Quote"/>
      </w:pPr>
      <w:r w:rsidRPr="6AD0082D">
        <w:t xml:space="preserve">“Being able to provide enough hours to </w:t>
      </w:r>
      <w:r w:rsidR="0076126E">
        <w:t>part-time</w:t>
      </w:r>
      <w:r w:rsidRPr="6AD0082D">
        <w:t xml:space="preserve"> staff due to rules in SCHADS award.”</w:t>
      </w:r>
    </w:p>
    <w:p w14:paraId="0CFD1D19" w14:textId="77777777" w:rsidR="004316F3" w:rsidRDefault="3EE8F416" w:rsidP="00E33915">
      <w:pPr>
        <w:pStyle w:val="QuoteAuthor"/>
      </w:pPr>
      <w:r w:rsidRPr="6766CE18">
        <w:t>Vic</w:t>
      </w:r>
      <w:r w:rsidR="05B79D20" w:rsidRPr="6AD0082D">
        <w:t xml:space="preserve"> medium not-for-profit</w:t>
      </w:r>
    </w:p>
    <w:p w14:paraId="052D2715" w14:textId="5F103CE6" w:rsidR="004316F3" w:rsidRDefault="05B79D20" w:rsidP="0097062A">
      <w:pPr>
        <w:rPr>
          <w:color w:val="000000" w:themeColor="text1"/>
        </w:rPr>
      </w:pPr>
      <w:r>
        <w:t>Other challenges mentioned by respondents included remote work locations, the NDIS pricing model, lack of career pathways, bad fits with organisational culture, roles used to advance career opportunities elsewhere, staff safety issues, staff training and development demands, cost of living in a capital city, and the costs of being registered:</w:t>
      </w:r>
    </w:p>
    <w:p w14:paraId="2A7252AA" w14:textId="6244D1B0" w:rsidR="05B79D20" w:rsidRDefault="05B79D20" w:rsidP="00E33915">
      <w:pPr>
        <w:pStyle w:val="Quote"/>
      </w:pPr>
      <w:r w:rsidRPr="6AD0082D">
        <w:t xml:space="preserve">“Location </w:t>
      </w:r>
      <w:r w:rsidRPr="6AD0082D">
        <w:rPr>
          <w:rFonts w:ascii="Segoe UI Symbol" w:eastAsia="Segoe UI Symbol" w:hAnsi="Segoe UI Symbol" w:cs="Segoe UI Symbol"/>
          <w:lang w:val="en-US"/>
        </w:rPr>
        <w:t>⏤</w:t>
      </w:r>
      <w:r w:rsidRPr="6AD0082D">
        <w:rPr>
          <w:lang w:val="en-US"/>
        </w:rPr>
        <w:t xml:space="preserve"> </w:t>
      </w:r>
      <w:r w:rsidR="00461AB4" w:rsidRPr="1718607A">
        <w:rPr>
          <w:lang w:val="en-US"/>
        </w:rPr>
        <w:t>[</w:t>
      </w:r>
      <w:r w:rsidRPr="6AD0082D">
        <w:t>town in the Northern Territory</w:t>
      </w:r>
      <w:r w:rsidR="00367068" w:rsidRPr="1718607A">
        <w:t>]</w:t>
      </w:r>
      <w:r w:rsidRPr="6AD0082D">
        <w:t xml:space="preserve"> has a transient population.”</w:t>
      </w:r>
    </w:p>
    <w:p w14:paraId="15858A9D" w14:textId="77777777" w:rsidR="004316F3" w:rsidRDefault="05B79D20" w:rsidP="00E33915">
      <w:pPr>
        <w:pStyle w:val="QuoteAuthor"/>
      </w:pPr>
      <w:r w:rsidRPr="6AD0082D">
        <w:t>NT medium not-for-profit</w:t>
      </w:r>
    </w:p>
    <w:p w14:paraId="3E74E866" w14:textId="6551FDE1" w:rsidR="05B79D20" w:rsidRDefault="05B79D20" w:rsidP="00E33915">
      <w:pPr>
        <w:pStyle w:val="Quote"/>
      </w:pPr>
      <w:r w:rsidRPr="6AD0082D">
        <w:t>“Our capacity to keep up with OT salary expectations given the NDIS price freeze for OT.”</w:t>
      </w:r>
    </w:p>
    <w:p w14:paraId="4E6993AE" w14:textId="77777777" w:rsidR="004316F3" w:rsidRDefault="05B79D20" w:rsidP="00E33915">
      <w:pPr>
        <w:pStyle w:val="QuoteAuthor"/>
      </w:pPr>
      <w:r w:rsidRPr="6AD0082D">
        <w:t>NSW small for-profit</w:t>
      </w:r>
    </w:p>
    <w:p w14:paraId="0F1E78F8" w14:textId="3F2375C3" w:rsidR="05B79D20" w:rsidRDefault="05B79D20" w:rsidP="00E33915">
      <w:pPr>
        <w:pStyle w:val="Quote"/>
      </w:pPr>
      <w:r w:rsidRPr="6AD0082D">
        <w:t>“Limited career advancement: lack of clear career progression opportunities can affect retention, particularly in roles where professional development is limited.”</w:t>
      </w:r>
    </w:p>
    <w:p w14:paraId="6D92F67D" w14:textId="77777777" w:rsidR="004316F3" w:rsidRDefault="05B79D20" w:rsidP="00E33915">
      <w:pPr>
        <w:pStyle w:val="QuoteAuthor"/>
      </w:pPr>
      <w:r w:rsidRPr="6AD0082D">
        <w:t>NSW very small for-profit</w:t>
      </w:r>
    </w:p>
    <w:p w14:paraId="556B5EBE" w14:textId="43534BE2" w:rsidR="05B79D20" w:rsidRDefault="05B79D20" w:rsidP="00E33915">
      <w:pPr>
        <w:pStyle w:val="Quote"/>
      </w:pPr>
      <w:r w:rsidRPr="6AD0082D">
        <w:lastRenderedPageBreak/>
        <w:t>“Cultural and organisational fit: misalignment between staff values and organisational culture can lead to dissatisfaction and turnover, particularly in roles requiring close alignment with organisational values.”</w:t>
      </w:r>
    </w:p>
    <w:p w14:paraId="3BB0E1C1" w14:textId="77777777" w:rsidR="004316F3" w:rsidRDefault="05B79D20" w:rsidP="00E33915">
      <w:pPr>
        <w:pStyle w:val="QuoteAuthor"/>
      </w:pPr>
      <w:r w:rsidRPr="6AD0082D">
        <w:t>NSW very small for-profit</w:t>
      </w:r>
    </w:p>
    <w:p w14:paraId="6CA98EA6" w14:textId="3A070E00" w:rsidR="05B79D20" w:rsidRDefault="05B79D20" w:rsidP="00E33915">
      <w:pPr>
        <w:pStyle w:val="Quote"/>
      </w:pPr>
      <w:r w:rsidRPr="6AD0082D">
        <w:t>“Support workers doing the role as a transition or interim role.”</w:t>
      </w:r>
    </w:p>
    <w:p w14:paraId="7D85D43C" w14:textId="77777777" w:rsidR="004316F3" w:rsidRDefault="30746255" w:rsidP="00E33915">
      <w:pPr>
        <w:pStyle w:val="QuoteAuthor"/>
      </w:pPr>
      <w:r w:rsidRPr="6766CE18">
        <w:t>Vic</w:t>
      </w:r>
      <w:r w:rsidR="05B79D20" w:rsidRPr="6AD0082D">
        <w:t xml:space="preserve"> large not-for-profit</w:t>
      </w:r>
    </w:p>
    <w:p w14:paraId="7E58B80D" w14:textId="1661E3F9" w:rsidR="05B79D20" w:rsidRDefault="05B79D20" w:rsidP="00E33915">
      <w:pPr>
        <w:pStyle w:val="Quote"/>
      </w:pPr>
      <w:r w:rsidRPr="6AD0082D">
        <w:t xml:space="preserve">“Generally, safety has been a greater issue for in home support </w:t>
      </w:r>
      <w:r w:rsidR="00BA254E">
        <w:t>–</w:t>
      </w:r>
      <w:r w:rsidRPr="6AD0082D">
        <w:t xml:space="preserve"> particularly evening/night.”</w:t>
      </w:r>
    </w:p>
    <w:p w14:paraId="3C8974DB" w14:textId="77777777" w:rsidR="004316F3" w:rsidRDefault="09BBFE72" w:rsidP="00E33915">
      <w:pPr>
        <w:pStyle w:val="QuoteAuthor"/>
      </w:pPr>
      <w:r w:rsidRPr="6766CE18">
        <w:t>Vic</w:t>
      </w:r>
      <w:r w:rsidR="05B79D20" w:rsidRPr="6AD0082D">
        <w:t xml:space="preserve"> medium not-for-profit</w:t>
      </w:r>
    </w:p>
    <w:p w14:paraId="3E76F2B5" w14:textId="122BFCAF" w:rsidR="05B79D20" w:rsidRDefault="05B79D20" w:rsidP="00E33915">
      <w:pPr>
        <w:pStyle w:val="Quote"/>
      </w:pPr>
      <w:r w:rsidRPr="6AD0082D">
        <w:t>“Ability to give them enough training and supervision and support (due to funding constraints).”</w:t>
      </w:r>
    </w:p>
    <w:p w14:paraId="4E6F0734" w14:textId="77777777" w:rsidR="004316F3" w:rsidRDefault="05B79D20" w:rsidP="00E33915">
      <w:pPr>
        <w:pStyle w:val="QuoteAuthor"/>
      </w:pPr>
      <w:r w:rsidRPr="6AD0082D">
        <w:t>NSW small not-for-profit</w:t>
      </w:r>
    </w:p>
    <w:p w14:paraId="1584898D" w14:textId="0054C0A4" w:rsidR="05B79D20" w:rsidRDefault="05B79D20" w:rsidP="00E33915">
      <w:pPr>
        <w:pStyle w:val="Quote"/>
      </w:pPr>
      <w:r w:rsidRPr="6AD0082D">
        <w:t>“Cost of living in Sydney for all staff.”</w:t>
      </w:r>
    </w:p>
    <w:p w14:paraId="49354F09" w14:textId="77777777" w:rsidR="004316F3" w:rsidRDefault="05B79D20" w:rsidP="00E33915">
      <w:pPr>
        <w:pStyle w:val="QuoteAuthor"/>
      </w:pPr>
      <w:r w:rsidRPr="6AD0082D">
        <w:t>NSW small not-for-profit</w:t>
      </w:r>
    </w:p>
    <w:p w14:paraId="798E08D2" w14:textId="14743581" w:rsidR="05B79D20" w:rsidRDefault="05B79D20" w:rsidP="00E33915">
      <w:pPr>
        <w:pStyle w:val="Quote"/>
      </w:pPr>
      <w:r w:rsidRPr="6AD0082D">
        <w:t>“Operating under an award and the associated costs in being registered as compared with those agencies who do not have these costs.”</w:t>
      </w:r>
    </w:p>
    <w:p w14:paraId="467B91AF" w14:textId="77777777" w:rsidR="004316F3" w:rsidRPr="00BA254E" w:rsidRDefault="05B79D20" w:rsidP="00BA254E">
      <w:pPr>
        <w:pStyle w:val="QuoteAuthor"/>
      </w:pPr>
      <w:r w:rsidRPr="00BA254E">
        <w:t>Q</w:t>
      </w:r>
      <w:r w:rsidR="0AE249DF" w:rsidRPr="00BA254E">
        <w:t>ld</w:t>
      </w:r>
      <w:r w:rsidRPr="00BA254E">
        <w:t xml:space="preserve"> medium not-for-profit</w:t>
      </w:r>
    </w:p>
    <w:p w14:paraId="4607E5D5" w14:textId="77777777" w:rsidR="004316F3" w:rsidRDefault="05B79D20" w:rsidP="0097062A">
      <w:r w:rsidRPr="6AD0082D">
        <w:t>Among open-text responses to the key supports or enablers that services experience in retaining staff, respondents popularly described the importance of training and development:</w:t>
      </w:r>
    </w:p>
    <w:p w14:paraId="01A52D2A" w14:textId="4C8283D2" w:rsidR="05B79D20" w:rsidRDefault="05B79D20" w:rsidP="00E33915">
      <w:pPr>
        <w:pStyle w:val="Quote"/>
      </w:pPr>
      <w:r w:rsidRPr="6AD0082D">
        <w:t>“Good training and development opportunities.”</w:t>
      </w:r>
    </w:p>
    <w:p w14:paraId="4B771FC5" w14:textId="77777777" w:rsidR="004316F3" w:rsidRDefault="05B79D20" w:rsidP="00E33915">
      <w:pPr>
        <w:pStyle w:val="QuoteAuthor"/>
      </w:pPr>
      <w:r w:rsidRPr="6AD0082D">
        <w:t>NSW medium for-profit</w:t>
      </w:r>
    </w:p>
    <w:p w14:paraId="6D2EF5B3" w14:textId="66E071B5" w:rsidR="05B79D20" w:rsidRDefault="05B79D20" w:rsidP="00E33915">
      <w:pPr>
        <w:pStyle w:val="Quote"/>
      </w:pPr>
      <w:r w:rsidRPr="6AD0082D">
        <w:t>“Training and skills development.”</w:t>
      </w:r>
    </w:p>
    <w:p w14:paraId="15F9ED7C" w14:textId="77777777" w:rsidR="004316F3" w:rsidRDefault="05B79D20" w:rsidP="00E33915">
      <w:pPr>
        <w:pStyle w:val="QuoteAuthor"/>
      </w:pPr>
      <w:r w:rsidRPr="6AD0082D">
        <w:t>ACT medium not-for-profit</w:t>
      </w:r>
    </w:p>
    <w:p w14:paraId="539FEE22" w14:textId="340A9B70" w:rsidR="05B79D20" w:rsidRDefault="05B79D20" w:rsidP="00E33915">
      <w:pPr>
        <w:pStyle w:val="Quote"/>
      </w:pPr>
      <w:r w:rsidRPr="6AD0082D">
        <w:t>“Key is non-salary options such as people development.”</w:t>
      </w:r>
    </w:p>
    <w:p w14:paraId="324284C6" w14:textId="77777777" w:rsidR="004316F3" w:rsidRDefault="05B79D20" w:rsidP="00E33915">
      <w:pPr>
        <w:pStyle w:val="QuoteAuthor"/>
      </w:pPr>
      <w:r w:rsidRPr="6AD0082D">
        <w:t>SA medium not-for-profit</w:t>
      </w:r>
    </w:p>
    <w:p w14:paraId="5749A3BF" w14:textId="301860B3" w:rsidR="05B79D20" w:rsidRDefault="05B79D20" w:rsidP="00E33915">
      <w:pPr>
        <w:pStyle w:val="Quote"/>
      </w:pPr>
      <w:r w:rsidRPr="6AD0082D">
        <w:lastRenderedPageBreak/>
        <w:t>“Providing extra training and buddy shifts to support new staff.”</w:t>
      </w:r>
    </w:p>
    <w:p w14:paraId="580260FC" w14:textId="77777777" w:rsidR="004316F3" w:rsidRDefault="05B79D20" w:rsidP="00E33915">
      <w:pPr>
        <w:pStyle w:val="QuoteAuthor"/>
      </w:pPr>
      <w:r w:rsidRPr="6AD0082D">
        <w:t>NSW large not-for-profit</w:t>
      </w:r>
    </w:p>
    <w:p w14:paraId="7E3BC616" w14:textId="77777777" w:rsidR="004316F3" w:rsidRDefault="05B79D20" w:rsidP="0097062A">
      <w:r w:rsidRPr="6AD0082D">
        <w:t>Many respondents reported “culture of organisation” as an enabler:</w:t>
      </w:r>
    </w:p>
    <w:p w14:paraId="166A4008" w14:textId="6E4F9609" w:rsidR="05B79D20" w:rsidRDefault="05B79D20" w:rsidP="00E33915">
      <w:pPr>
        <w:pStyle w:val="Quote"/>
      </w:pPr>
      <w:r w:rsidRPr="6AD0082D">
        <w:t>“We try to maintain a positive culture, so we have experienced staff leaving and then returning to us.”</w:t>
      </w:r>
    </w:p>
    <w:p w14:paraId="515EF930" w14:textId="77777777" w:rsidR="004316F3" w:rsidRDefault="05B79D20" w:rsidP="00E33915">
      <w:pPr>
        <w:pStyle w:val="QuoteAuthor"/>
      </w:pPr>
      <w:r w:rsidRPr="6AD0082D">
        <w:t>NSW small not-for-profit</w:t>
      </w:r>
    </w:p>
    <w:p w14:paraId="7D0757CA" w14:textId="562B2CB5" w:rsidR="05B79D20" w:rsidRDefault="05B79D20" w:rsidP="00E33915">
      <w:pPr>
        <w:pStyle w:val="Quote"/>
      </w:pPr>
      <w:r w:rsidRPr="6AD0082D">
        <w:t>“Strong culture of supervision and staff engagement.”</w:t>
      </w:r>
    </w:p>
    <w:p w14:paraId="365073F8" w14:textId="77777777" w:rsidR="004316F3" w:rsidRDefault="05B79D20" w:rsidP="00E33915">
      <w:pPr>
        <w:pStyle w:val="QuoteAuthor"/>
      </w:pPr>
      <w:r w:rsidRPr="6AD0082D">
        <w:t>WA large not-for-profit</w:t>
      </w:r>
    </w:p>
    <w:p w14:paraId="7D173A54" w14:textId="438A93AF" w:rsidR="05B79D20" w:rsidRDefault="05B79D20" w:rsidP="00E33915">
      <w:pPr>
        <w:pStyle w:val="Quote"/>
      </w:pPr>
      <w:r w:rsidRPr="6AD0082D">
        <w:t>“A positive and supportive culture.”</w:t>
      </w:r>
    </w:p>
    <w:p w14:paraId="40D35981" w14:textId="77777777" w:rsidR="004316F3" w:rsidRDefault="7DB6F645" w:rsidP="00E33915">
      <w:pPr>
        <w:pStyle w:val="QuoteAuthor"/>
      </w:pPr>
      <w:r w:rsidRPr="6766CE18">
        <w:t>Vic</w:t>
      </w:r>
      <w:r w:rsidR="05B79D20" w:rsidRPr="6AD0082D">
        <w:t xml:space="preserve"> medium not-for-profit</w:t>
      </w:r>
    </w:p>
    <w:p w14:paraId="0B87443B" w14:textId="477DD14D" w:rsidR="05B79D20" w:rsidRDefault="05B79D20" w:rsidP="00E33915">
      <w:pPr>
        <w:pStyle w:val="Quote"/>
      </w:pPr>
      <w:r w:rsidRPr="6AD0082D">
        <w:t>“Building a supportive, high-quality culture.”</w:t>
      </w:r>
    </w:p>
    <w:p w14:paraId="11808B82" w14:textId="77777777" w:rsidR="004316F3" w:rsidRDefault="05B79D20" w:rsidP="00E33915">
      <w:pPr>
        <w:pStyle w:val="QuoteAuthor"/>
      </w:pPr>
      <w:r w:rsidRPr="6AD0082D">
        <w:t>WA large not-for-profit</w:t>
      </w:r>
    </w:p>
    <w:p w14:paraId="153E8F51" w14:textId="77777777" w:rsidR="004316F3" w:rsidRDefault="05B79D20" w:rsidP="0097062A">
      <w:r w:rsidRPr="6AD0082D">
        <w:t>Respondents often raised support and staff wellbeing programs:</w:t>
      </w:r>
    </w:p>
    <w:p w14:paraId="1C777A5B" w14:textId="0B74A730" w:rsidR="05B79D20" w:rsidRDefault="05B79D20" w:rsidP="00E33915">
      <w:pPr>
        <w:pStyle w:val="Quote"/>
      </w:pPr>
      <w:r w:rsidRPr="6AD0082D">
        <w:t>“Providing access to mental health support and wellness programs can help reduce burnout and improve retention, particularly in roles with high emotional demands.”</w:t>
      </w:r>
    </w:p>
    <w:p w14:paraId="3395FE7A" w14:textId="77777777" w:rsidR="004316F3" w:rsidRDefault="05B79D20" w:rsidP="00E33915">
      <w:pPr>
        <w:pStyle w:val="QuoteAuthor"/>
      </w:pPr>
      <w:r w:rsidRPr="6AD0082D">
        <w:t>NSW very small for-profit</w:t>
      </w:r>
    </w:p>
    <w:p w14:paraId="0765593C" w14:textId="1C0CD6B7" w:rsidR="05B79D20" w:rsidRDefault="05B79D20" w:rsidP="00E33915">
      <w:pPr>
        <w:pStyle w:val="Quote"/>
      </w:pPr>
      <w:r w:rsidRPr="6AD0082D">
        <w:t>“Staff wellbeing program.”</w:t>
      </w:r>
    </w:p>
    <w:p w14:paraId="518837C9" w14:textId="77777777" w:rsidR="004316F3" w:rsidRPr="002171F3" w:rsidRDefault="7C66C63C" w:rsidP="002171F3">
      <w:pPr>
        <w:pStyle w:val="QuoteAuthor"/>
      </w:pPr>
      <w:r w:rsidRPr="002171F3">
        <w:t>Vic</w:t>
      </w:r>
      <w:r w:rsidR="05B79D20" w:rsidRPr="002171F3">
        <w:t xml:space="preserve"> medium not-for-profit</w:t>
      </w:r>
    </w:p>
    <w:p w14:paraId="26A2CB35" w14:textId="1C50598D" w:rsidR="05B79D20" w:rsidRDefault="05B79D20" w:rsidP="00E33915">
      <w:pPr>
        <w:pStyle w:val="Quote"/>
      </w:pPr>
      <w:r w:rsidRPr="6AD0082D">
        <w:t>“Wellness programs.”</w:t>
      </w:r>
    </w:p>
    <w:p w14:paraId="77C934DC" w14:textId="77777777" w:rsidR="004316F3" w:rsidRDefault="05B79D20" w:rsidP="00E33915">
      <w:pPr>
        <w:pStyle w:val="QuoteAuthor"/>
      </w:pPr>
      <w:r w:rsidRPr="6AD0082D">
        <w:t>SA large not-for-profit</w:t>
      </w:r>
    </w:p>
    <w:p w14:paraId="4A4C5528" w14:textId="71D0F162" w:rsidR="05B79D20" w:rsidRDefault="05B79D20" w:rsidP="00E33915">
      <w:pPr>
        <w:pStyle w:val="Quote"/>
      </w:pPr>
      <w:r w:rsidRPr="6AD0082D">
        <w:t>“We are providing high-quality supports to appreciative participants.”</w:t>
      </w:r>
    </w:p>
    <w:p w14:paraId="2F466827" w14:textId="77777777" w:rsidR="004316F3" w:rsidRDefault="05B79D20" w:rsidP="00E33915">
      <w:pPr>
        <w:pStyle w:val="QuoteAuthor"/>
      </w:pPr>
      <w:r w:rsidRPr="6AD0082D">
        <w:t>NSW small not-for-profit</w:t>
      </w:r>
    </w:p>
    <w:p w14:paraId="66D241BA" w14:textId="77777777" w:rsidR="004316F3" w:rsidRDefault="05B79D20" w:rsidP="0097062A">
      <w:r w:rsidRPr="6AD0082D">
        <w:t xml:space="preserve">Several respondents described manageable workload </w:t>
      </w:r>
      <w:r w:rsidRPr="6AD0082D">
        <w:rPr>
          <w:rFonts w:ascii="Segoe UI Symbol" w:eastAsia="Segoe UI Symbol" w:hAnsi="Segoe UI Symbol" w:cs="Segoe UI Symbol"/>
          <w:lang w:val="en-US"/>
        </w:rPr>
        <w:t>⏤</w:t>
      </w:r>
      <w:r w:rsidRPr="6AD0082D">
        <w:t xml:space="preserve"> work-life balance, competitive pay, flexible work arrangements, and rewards and recognition:</w:t>
      </w:r>
    </w:p>
    <w:p w14:paraId="64428663" w14:textId="3B166FF8" w:rsidR="05B79D20" w:rsidRDefault="05B79D20" w:rsidP="00E33915">
      <w:pPr>
        <w:pStyle w:val="Quote"/>
      </w:pPr>
      <w:r w:rsidRPr="6AD0082D">
        <w:lastRenderedPageBreak/>
        <w:t>“Work-life balance: flexible work arrangements and reasonable workloads help staff maintain a healthy work-life balance, which is important for retention in roles like support workers and care coordinators.”</w:t>
      </w:r>
    </w:p>
    <w:p w14:paraId="7AA33277" w14:textId="77777777" w:rsidR="004316F3" w:rsidRDefault="05B79D20" w:rsidP="00E33915">
      <w:pPr>
        <w:pStyle w:val="QuoteAuthor"/>
      </w:pPr>
      <w:r w:rsidRPr="6AD0082D">
        <w:t>NSW very small for-profit</w:t>
      </w:r>
    </w:p>
    <w:p w14:paraId="7C6D2E5D" w14:textId="2B306519" w:rsidR="05B79D20" w:rsidRDefault="05B79D20" w:rsidP="00E33915">
      <w:pPr>
        <w:pStyle w:val="Quote"/>
      </w:pPr>
      <w:r w:rsidRPr="6AD0082D">
        <w:t xml:space="preserve">“Work and personal life balance </w:t>
      </w:r>
      <w:r w:rsidRPr="6AD0082D">
        <w:rPr>
          <w:rFonts w:ascii="Segoe UI Symbol" w:eastAsia="Segoe UI Symbol" w:hAnsi="Segoe UI Symbol" w:cs="Segoe UI Symbol"/>
          <w:lang w:val="en-US"/>
        </w:rPr>
        <w:t>⏤</w:t>
      </w:r>
      <w:r w:rsidRPr="6AD0082D">
        <w:t xml:space="preserve"> mitigate burn out!”</w:t>
      </w:r>
    </w:p>
    <w:p w14:paraId="1C995B78" w14:textId="77777777" w:rsidR="004316F3" w:rsidRDefault="05B79D20" w:rsidP="00E33915">
      <w:pPr>
        <w:pStyle w:val="QuoteAuthor"/>
      </w:pPr>
      <w:r w:rsidRPr="6AD0082D">
        <w:t>ACT medium not-for-profit</w:t>
      </w:r>
    </w:p>
    <w:p w14:paraId="6A53B8E1" w14:textId="61D3FCE2" w:rsidR="05B79D20" w:rsidRDefault="05B79D20" w:rsidP="00E33915">
      <w:pPr>
        <w:pStyle w:val="Quote"/>
      </w:pPr>
      <w:r w:rsidRPr="6AD0082D">
        <w:t>“Competitive compensation and benefits: offering attractive salary packages and comprehensive benefits helps retain staff, particularly in high-demand roles such as support workers and clinical staff.”</w:t>
      </w:r>
    </w:p>
    <w:p w14:paraId="1980B3C4" w14:textId="77777777" w:rsidR="004316F3" w:rsidRDefault="05B79D20" w:rsidP="00E33915">
      <w:pPr>
        <w:pStyle w:val="QuoteAuthor"/>
      </w:pPr>
      <w:r w:rsidRPr="6AD0082D">
        <w:t>NSW very small for-profit</w:t>
      </w:r>
    </w:p>
    <w:p w14:paraId="33E176A8" w14:textId="4256DD9D" w:rsidR="05B79D20" w:rsidRDefault="05B79D20" w:rsidP="00E33915">
      <w:pPr>
        <w:pStyle w:val="Quote"/>
      </w:pPr>
      <w:r w:rsidRPr="6AD0082D">
        <w:t>“Above award wages that recognise personal costs of remote living.”</w:t>
      </w:r>
    </w:p>
    <w:p w14:paraId="53B2E751" w14:textId="77777777" w:rsidR="004316F3" w:rsidRDefault="05B79D20" w:rsidP="00E33915">
      <w:pPr>
        <w:pStyle w:val="QuoteAuthor"/>
      </w:pPr>
      <w:r w:rsidRPr="6AD0082D">
        <w:t>NT large not-for-profit</w:t>
      </w:r>
    </w:p>
    <w:p w14:paraId="791DB837" w14:textId="797D36F9" w:rsidR="05B79D20" w:rsidRDefault="05B79D20" w:rsidP="00E33915">
      <w:pPr>
        <w:pStyle w:val="Quote"/>
      </w:pPr>
      <w:r w:rsidRPr="6AD0082D">
        <w:t xml:space="preserve">“We have a flexible work environment, with SC/PRC </w:t>
      </w:r>
      <w:r w:rsidR="00F04B47" w:rsidRPr="4BE15E48">
        <w:t>[</w:t>
      </w:r>
      <w:r w:rsidRPr="6AD0082D">
        <w:t>support coordination and psychosocial recovery coaching</w:t>
      </w:r>
      <w:r w:rsidR="00F04B47" w:rsidRPr="4BE15E48">
        <w:t>]</w:t>
      </w:r>
      <w:r w:rsidRPr="6AD0082D">
        <w:t xml:space="preserve"> staff having a mix of working from home and office and for support workers in the community who go from their home to support, so again flexible.”</w:t>
      </w:r>
    </w:p>
    <w:p w14:paraId="4DAA0B27" w14:textId="77777777" w:rsidR="004316F3" w:rsidRDefault="05B79D20" w:rsidP="00E33915">
      <w:pPr>
        <w:pStyle w:val="QuoteAuthor"/>
      </w:pPr>
      <w:r w:rsidRPr="6AD0082D">
        <w:t>SA small for-profit</w:t>
      </w:r>
    </w:p>
    <w:p w14:paraId="0DF78D86" w14:textId="1160E7D2" w:rsidR="05B79D20" w:rsidRDefault="05B79D20" w:rsidP="00E33915">
      <w:pPr>
        <w:pStyle w:val="Quote"/>
      </w:pPr>
      <w:r w:rsidRPr="6AD0082D">
        <w:t>“Recognition and rewards: regular recognition and reward programs acknowledge staff contributions and achievements, boosting morale and retention across various occupational groups.”</w:t>
      </w:r>
    </w:p>
    <w:p w14:paraId="6EC903B6" w14:textId="77777777" w:rsidR="004316F3" w:rsidRDefault="05B79D20" w:rsidP="00E33915">
      <w:pPr>
        <w:pStyle w:val="QuoteAuthor"/>
      </w:pPr>
      <w:r w:rsidRPr="6AD0082D">
        <w:t>NSW very small for-profit</w:t>
      </w:r>
    </w:p>
    <w:p w14:paraId="60D63A87" w14:textId="0F7AA2EC" w:rsidR="05B79D20" w:rsidRDefault="05B79D20" w:rsidP="00E33915">
      <w:pPr>
        <w:pStyle w:val="Quote"/>
      </w:pPr>
      <w:r w:rsidRPr="6AD0082D">
        <w:t>“Recognition of effort and outcomes.”</w:t>
      </w:r>
    </w:p>
    <w:p w14:paraId="0E775A99" w14:textId="77777777" w:rsidR="004316F3" w:rsidRDefault="05B79D20" w:rsidP="00E33915">
      <w:pPr>
        <w:pStyle w:val="QuoteAuthor"/>
      </w:pPr>
      <w:r w:rsidRPr="6AD0082D">
        <w:t>NSW medium for-profit</w:t>
      </w:r>
    </w:p>
    <w:p w14:paraId="60789356" w14:textId="77777777" w:rsidR="004316F3" w:rsidRDefault="05B79D20" w:rsidP="0097062A">
      <w:r w:rsidRPr="6AD0082D">
        <w:t>A minority of respondents mentioned strong leadership, good supervision and communication, consistent work availability, and having in place an attraction and retention strategy:</w:t>
      </w:r>
    </w:p>
    <w:p w14:paraId="3540D86F" w14:textId="13DB55D5" w:rsidR="05B79D20" w:rsidRDefault="05B79D20" w:rsidP="00E33915">
      <w:pPr>
        <w:pStyle w:val="Quote"/>
      </w:pPr>
      <w:r w:rsidRPr="6AD0082D">
        <w:t>“Excellent management and leadership.”</w:t>
      </w:r>
    </w:p>
    <w:p w14:paraId="35BE2A65" w14:textId="77777777" w:rsidR="004316F3" w:rsidRDefault="05B79D20" w:rsidP="00E33915">
      <w:pPr>
        <w:pStyle w:val="QuoteAuthor"/>
      </w:pPr>
      <w:r w:rsidRPr="6AD0082D">
        <w:lastRenderedPageBreak/>
        <w:t>SA large not-for-profit</w:t>
      </w:r>
    </w:p>
    <w:p w14:paraId="7701F6B1" w14:textId="0CB9249C" w:rsidR="05B79D20" w:rsidRDefault="05B79D20" w:rsidP="00E33915">
      <w:pPr>
        <w:pStyle w:val="Quote"/>
      </w:pPr>
      <w:r w:rsidRPr="6AD0082D">
        <w:t>“Strong culture of supervision.”</w:t>
      </w:r>
    </w:p>
    <w:p w14:paraId="0A60896F" w14:textId="77777777" w:rsidR="004316F3" w:rsidRDefault="05B79D20" w:rsidP="00E33915">
      <w:pPr>
        <w:pStyle w:val="QuoteAuthor"/>
      </w:pPr>
      <w:r w:rsidRPr="6AD0082D">
        <w:t>WA large not-for-profit</w:t>
      </w:r>
    </w:p>
    <w:p w14:paraId="7DC2407D" w14:textId="5B6D4798" w:rsidR="05B79D20" w:rsidRDefault="05B79D20" w:rsidP="00E33915">
      <w:pPr>
        <w:pStyle w:val="Quote"/>
      </w:pPr>
      <w:r w:rsidRPr="6AD0082D">
        <w:t>“Good communication and support from management.”</w:t>
      </w:r>
    </w:p>
    <w:p w14:paraId="71539CCA" w14:textId="77777777" w:rsidR="004316F3" w:rsidRDefault="05B79D20" w:rsidP="00E33915">
      <w:pPr>
        <w:pStyle w:val="QuoteAuthor"/>
      </w:pPr>
      <w:r w:rsidRPr="6AD0082D">
        <w:t>NSW small not-for-profit</w:t>
      </w:r>
    </w:p>
    <w:p w14:paraId="799E13BD" w14:textId="34851A6D" w:rsidR="05B79D20" w:rsidRDefault="05B79D20" w:rsidP="00E33915">
      <w:pPr>
        <w:pStyle w:val="Quote"/>
      </w:pPr>
      <w:r w:rsidRPr="6AD0082D">
        <w:t>“Providing consistent hours and part time roles.”</w:t>
      </w:r>
    </w:p>
    <w:p w14:paraId="7C305896" w14:textId="77777777" w:rsidR="004316F3" w:rsidRDefault="1AAAB45E" w:rsidP="00E33915">
      <w:pPr>
        <w:pStyle w:val="QuoteAuthor"/>
      </w:pPr>
      <w:r w:rsidRPr="6766CE18">
        <w:t>Vic</w:t>
      </w:r>
      <w:r w:rsidR="05B79D20" w:rsidRPr="6AD0082D">
        <w:t xml:space="preserve"> medium not-for-profit</w:t>
      </w:r>
    </w:p>
    <w:p w14:paraId="49D29E1A" w14:textId="2FB2DF61" w:rsidR="05B79D20" w:rsidRDefault="05B79D20" w:rsidP="00E33915">
      <w:pPr>
        <w:pStyle w:val="Quote"/>
      </w:pPr>
      <w:r w:rsidRPr="6AD0082D">
        <w:t>“Regular work on the days and times that they want it in the volume that they want.”</w:t>
      </w:r>
    </w:p>
    <w:p w14:paraId="169B0269" w14:textId="77777777" w:rsidR="004316F3" w:rsidRDefault="05B79D20" w:rsidP="00E33915">
      <w:pPr>
        <w:pStyle w:val="QuoteAuthor"/>
      </w:pPr>
      <w:r w:rsidRPr="6AD0082D">
        <w:t>SA medium not-for-profit</w:t>
      </w:r>
    </w:p>
    <w:p w14:paraId="69C50697" w14:textId="65C37637" w:rsidR="05B79D20" w:rsidRDefault="05B79D20" w:rsidP="00E33915">
      <w:pPr>
        <w:pStyle w:val="Quote"/>
      </w:pPr>
      <w:r w:rsidRPr="6AD0082D">
        <w:t>“A good attraction and retention strategy.”</w:t>
      </w:r>
    </w:p>
    <w:p w14:paraId="5CDF1663" w14:textId="77777777" w:rsidR="004316F3" w:rsidRDefault="05B79D20" w:rsidP="00E33915">
      <w:pPr>
        <w:pStyle w:val="QuoteAuthor"/>
      </w:pPr>
      <w:r w:rsidRPr="6AD0082D">
        <w:t>NT large not-for-profit</w:t>
      </w:r>
    </w:p>
    <w:p w14:paraId="49ACC198" w14:textId="77777777" w:rsidR="004316F3" w:rsidRDefault="05B79D20" w:rsidP="0097062A">
      <w:pPr>
        <w:rPr>
          <w:lang w:val="en-US"/>
        </w:rPr>
      </w:pPr>
      <w:r w:rsidRPr="50E3E469">
        <w:rPr>
          <w:lang w:val="en-US"/>
        </w:rPr>
        <w:t>Data collected as part of the annual NDS Workforce Census provides additional insights into the state of the workforce. The Census revealed a small rise in the proportion of permanent workers employed on a full-time basis. However, this was set against the highest turnover rates recorded since the survey commenced in 2015.</w:t>
      </w:r>
    </w:p>
    <w:p w14:paraId="3CA16C0E" w14:textId="3808EE5A" w:rsidR="05B79D20" w:rsidRPr="00613CEB" w:rsidRDefault="05B79D20" w:rsidP="0097062A">
      <w:r w:rsidRPr="50E3E469">
        <w:rPr>
          <w:lang w:val="en-US"/>
        </w:rPr>
        <w:t xml:space="preserve">Turnover rates for casual staff rose two percentage points to 24 per cent. Turnover for permanent staff jumped five percentage points to 16 per cent, the highest </w:t>
      </w:r>
      <w:r w:rsidRPr="50E3E469">
        <w:t>it has been since the workforce census survey began.</w:t>
      </w:r>
    </w:p>
    <w:p w14:paraId="2490E568" w14:textId="77777777" w:rsidR="004316F3" w:rsidRDefault="05B79D20" w:rsidP="0097062A">
      <w:pPr>
        <w:rPr>
          <w:lang w:val="en-US"/>
        </w:rPr>
      </w:pPr>
      <w:r w:rsidRPr="50E3E469">
        <w:rPr>
          <w:lang w:val="en-US"/>
        </w:rPr>
        <w:t xml:space="preserve">The most marked observation was amongst the permanent </w:t>
      </w:r>
      <w:bookmarkStart w:id="116" w:name="_Int_KJH53z2V"/>
      <w:proofErr w:type="gramStart"/>
      <w:r w:rsidRPr="50E3E469">
        <w:rPr>
          <w:lang w:val="en-US"/>
        </w:rPr>
        <w:t>workforce</w:t>
      </w:r>
      <w:bookmarkEnd w:id="116"/>
      <w:proofErr w:type="gramEnd"/>
      <w:r w:rsidRPr="50E3E469">
        <w:rPr>
          <w:lang w:val="en-US"/>
        </w:rPr>
        <w:t xml:space="preserve">. The </w:t>
      </w:r>
      <w:r w:rsidRPr="50E3E469">
        <w:t xml:space="preserve">proportion of full-time employees in the survey grew from 20 per cent to 30 per cent in the year. This was largely due to massive growth in NSW, which nearly doubled from 20 per cent to 39 per cent. </w:t>
      </w:r>
      <w:r w:rsidRPr="50E3E469">
        <w:rPr>
          <w:lang w:val="en-US"/>
        </w:rPr>
        <w:t xml:space="preserve">The overall proportion of permanent staff and casual workers has remained roughly on trend over the past five years, sitting at 60 per cent permanent staff and 37 per cent casual staff in the 2024 report. The remaining three per cent are on fixed-term contracts. This would suggest that the nature of the employment arrangement has an impact on </w:t>
      </w:r>
      <w:r w:rsidR="0076126E">
        <w:rPr>
          <w:lang w:val="en-US"/>
        </w:rPr>
        <w:t>the capacity</w:t>
      </w:r>
      <w:r w:rsidRPr="50E3E469">
        <w:rPr>
          <w:lang w:val="en-US"/>
        </w:rPr>
        <w:t xml:space="preserve"> to recruit.</w:t>
      </w:r>
    </w:p>
    <w:p w14:paraId="6F4107A7" w14:textId="038BC854" w:rsidR="05B79D20" w:rsidRPr="00613CEB" w:rsidRDefault="05B79D20" w:rsidP="0097062A">
      <w:r w:rsidRPr="50E3E469">
        <w:rPr>
          <w:lang w:val="en-US"/>
        </w:rPr>
        <w:lastRenderedPageBreak/>
        <w:t xml:space="preserve">The increase in turnover for permanent staff, along with the increased proportion of full-time staff could reflect workforce competition in a tight </w:t>
      </w:r>
      <w:proofErr w:type="spellStart"/>
      <w:r w:rsidRPr="50E3E469">
        <w:rPr>
          <w:lang w:val="en-US"/>
        </w:rPr>
        <w:t>labour</w:t>
      </w:r>
      <w:proofErr w:type="spellEnd"/>
      <w:r w:rsidRPr="50E3E469">
        <w:rPr>
          <w:lang w:val="en-US"/>
        </w:rPr>
        <w:t xml:space="preserve"> market. </w:t>
      </w:r>
      <w:proofErr w:type="spellStart"/>
      <w:r w:rsidRPr="50E3E469">
        <w:rPr>
          <w:lang w:val="en-US"/>
        </w:rPr>
        <w:t>Organisations</w:t>
      </w:r>
      <w:proofErr w:type="spellEnd"/>
      <w:r w:rsidRPr="50E3E469">
        <w:rPr>
          <w:lang w:val="en-US"/>
        </w:rPr>
        <w:t xml:space="preserve"> that </w:t>
      </w:r>
      <w:proofErr w:type="gramStart"/>
      <w:r w:rsidRPr="50E3E469">
        <w:rPr>
          <w:lang w:val="en-US"/>
        </w:rPr>
        <w:t>are able to</w:t>
      </w:r>
      <w:proofErr w:type="gramEnd"/>
      <w:r w:rsidRPr="50E3E469">
        <w:rPr>
          <w:lang w:val="en-US"/>
        </w:rPr>
        <w:t xml:space="preserve"> offer full-time contracts may be enticing workers from other </w:t>
      </w:r>
      <w:proofErr w:type="spellStart"/>
      <w:r w:rsidRPr="50E3E469">
        <w:rPr>
          <w:lang w:val="en-US"/>
        </w:rPr>
        <w:t>organisations</w:t>
      </w:r>
      <w:proofErr w:type="spellEnd"/>
      <w:r w:rsidRPr="50E3E469">
        <w:rPr>
          <w:lang w:val="en-US"/>
        </w:rPr>
        <w:t xml:space="preserve"> that can only offer part-time work.</w:t>
      </w:r>
    </w:p>
    <w:p w14:paraId="25E9D21E" w14:textId="53C735F2" w:rsidR="05B79D20" w:rsidRDefault="05B79D20" w:rsidP="0097062A">
      <w:r w:rsidRPr="006028B1">
        <w:t>Perceived barrier and facilitators</w:t>
      </w:r>
      <w:r w:rsidR="00DB4080" w:rsidRPr="006028B1">
        <w:t xml:space="preserve"> for staff retention</w:t>
      </w:r>
      <w:r w:rsidRPr="006028B1">
        <w:t xml:space="preserve"> are summarised below.</w:t>
      </w:r>
    </w:p>
    <w:p w14:paraId="6DF6551F" w14:textId="749A1436" w:rsidR="001B1052" w:rsidRDefault="001B1052" w:rsidP="00607C54">
      <w:pPr>
        <w:pStyle w:val="Heading5"/>
      </w:pPr>
      <w:r w:rsidRPr="001B1052">
        <w:t>Barriers to retention</w:t>
      </w:r>
    </w:p>
    <w:p w14:paraId="445CF118" w14:textId="361EAF3B" w:rsidR="00306B2E" w:rsidRDefault="00306B2E" w:rsidP="0097062A">
      <w:pPr>
        <w:pStyle w:val="ListParagraph"/>
        <w:numPr>
          <w:ilvl w:val="0"/>
          <w:numId w:val="39"/>
        </w:numPr>
      </w:pPr>
      <w:r w:rsidRPr="6AD0082D">
        <w:t>competition and poaching of staff</w:t>
      </w:r>
    </w:p>
    <w:p w14:paraId="3C9A0494" w14:textId="5D168ACE" w:rsidR="00306B2E" w:rsidRDefault="00306B2E" w:rsidP="0097062A">
      <w:pPr>
        <w:pStyle w:val="ListParagraph"/>
        <w:numPr>
          <w:ilvl w:val="0"/>
          <w:numId w:val="39"/>
        </w:numPr>
      </w:pPr>
      <w:r w:rsidRPr="6AD0082D">
        <w:t>low pay rate</w:t>
      </w:r>
    </w:p>
    <w:p w14:paraId="7BAE79F4" w14:textId="27BC12B8" w:rsidR="00306B2E" w:rsidRDefault="00306B2E" w:rsidP="0097062A">
      <w:pPr>
        <w:pStyle w:val="ListParagraph"/>
        <w:numPr>
          <w:ilvl w:val="0"/>
          <w:numId w:val="39"/>
        </w:numPr>
      </w:pPr>
      <w:r w:rsidRPr="6AD0082D">
        <w:t>staff burnout</w:t>
      </w:r>
    </w:p>
    <w:p w14:paraId="6F897DD3" w14:textId="71C15588" w:rsidR="00306B2E" w:rsidRDefault="00306B2E" w:rsidP="0097062A">
      <w:pPr>
        <w:pStyle w:val="ListParagraph"/>
        <w:numPr>
          <w:ilvl w:val="0"/>
          <w:numId w:val="39"/>
        </w:numPr>
      </w:pPr>
      <w:r w:rsidRPr="6AD0082D">
        <w:t>inconsistent work hours</w:t>
      </w:r>
    </w:p>
    <w:p w14:paraId="08ACEEFB" w14:textId="5D96E1B3" w:rsidR="00306B2E" w:rsidRDefault="00306B2E" w:rsidP="0097062A">
      <w:pPr>
        <w:pStyle w:val="ListParagraph"/>
        <w:numPr>
          <w:ilvl w:val="0"/>
          <w:numId w:val="39"/>
        </w:numPr>
      </w:pPr>
      <w:r w:rsidRPr="6AD0082D">
        <w:t>remote work location</w:t>
      </w:r>
    </w:p>
    <w:p w14:paraId="6D58D93D" w14:textId="77777777" w:rsidR="00306B2E" w:rsidRDefault="00306B2E" w:rsidP="0097062A">
      <w:pPr>
        <w:pStyle w:val="ListParagraph"/>
        <w:numPr>
          <w:ilvl w:val="0"/>
          <w:numId w:val="39"/>
        </w:numPr>
      </w:pPr>
      <w:r w:rsidRPr="6AD0082D">
        <w:t>NDIS pricing model</w:t>
      </w:r>
    </w:p>
    <w:p w14:paraId="0492F2FF" w14:textId="3DDEAD0F" w:rsidR="00306B2E" w:rsidRDefault="00306B2E" w:rsidP="0097062A">
      <w:pPr>
        <w:pStyle w:val="ListParagraph"/>
        <w:numPr>
          <w:ilvl w:val="0"/>
          <w:numId w:val="39"/>
        </w:numPr>
      </w:pPr>
      <w:r w:rsidRPr="6AD0082D">
        <w:t>lack of career pathway</w:t>
      </w:r>
    </w:p>
    <w:p w14:paraId="1480E19A" w14:textId="38D90988" w:rsidR="00306B2E" w:rsidRDefault="00306B2E" w:rsidP="0097062A">
      <w:pPr>
        <w:pStyle w:val="ListParagraph"/>
        <w:numPr>
          <w:ilvl w:val="0"/>
          <w:numId w:val="39"/>
        </w:numPr>
      </w:pPr>
      <w:r w:rsidRPr="6AD0082D">
        <w:t>bad fit with organisational culture</w:t>
      </w:r>
    </w:p>
    <w:p w14:paraId="2F5B96EE" w14:textId="762C2E45" w:rsidR="00306B2E" w:rsidRDefault="00306B2E" w:rsidP="0097062A">
      <w:pPr>
        <w:pStyle w:val="ListParagraph"/>
        <w:numPr>
          <w:ilvl w:val="0"/>
          <w:numId w:val="39"/>
        </w:numPr>
      </w:pPr>
      <w:r w:rsidRPr="6AD0082D">
        <w:t>roles used to advance career opportunities elsewhere</w:t>
      </w:r>
    </w:p>
    <w:p w14:paraId="67B9F4F6" w14:textId="1E17105F" w:rsidR="00306B2E" w:rsidRDefault="00306B2E" w:rsidP="0097062A">
      <w:pPr>
        <w:pStyle w:val="ListParagraph"/>
        <w:numPr>
          <w:ilvl w:val="0"/>
          <w:numId w:val="39"/>
        </w:numPr>
      </w:pPr>
      <w:r w:rsidRPr="6AD0082D">
        <w:t>staff safety issues</w:t>
      </w:r>
    </w:p>
    <w:p w14:paraId="63F76CAA" w14:textId="0F3806D9" w:rsidR="00306B2E" w:rsidRDefault="00306B2E" w:rsidP="0097062A">
      <w:pPr>
        <w:pStyle w:val="ListParagraph"/>
        <w:numPr>
          <w:ilvl w:val="0"/>
          <w:numId w:val="39"/>
        </w:numPr>
      </w:pPr>
      <w:r w:rsidRPr="6AD0082D">
        <w:t>staff training and development demands</w:t>
      </w:r>
    </w:p>
    <w:p w14:paraId="4A0F444F" w14:textId="787A8ACD" w:rsidR="00306B2E" w:rsidRPr="00306B2E" w:rsidRDefault="00306B2E" w:rsidP="0097062A">
      <w:pPr>
        <w:pStyle w:val="ListParagraph"/>
        <w:numPr>
          <w:ilvl w:val="0"/>
          <w:numId w:val="39"/>
        </w:numPr>
      </w:pPr>
      <w:r w:rsidRPr="00306B2E">
        <w:t>cost of living in a capital city</w:t>
      </w:r>
    </w:p>
    <w:p w14:paraId="426F2ED1" w14:textId="7D37732D" w:rsidR="001B1052" w:rsidRDefault="00306B2E" w:rsidP="0097062A">
      <w:pPr>
        <w:pStyle w:val="ListParagraph"/>
        <w:numPr>
          <w:ilvl w:val="0"/>
          <w:numId w:val="39"/>
        </w:numPr>
      </w:pPr>
      <w:r w:rsidRPr="00306B2E">
        <w:t>costs of being registered</w:t>
      </w:r>
      <w:r>
        <w:t>.</w:t>
      </w:r>
    </w:p>
    <w:p w14:paraId="02A8D906" w14:textId="48CD2959" w:rsidR="00306B2E" w:rsidRDefault="00306B2E" w:rsidP="00607C54">
      <w:pPr>
        <w:pStyle w:val="Heading5"/>
      </w:pPr>
      <w:r w:rsidRPr="00306B2E">
        <w:t>Facilitators of retention</w:t>
      </w:r>
    </w:p>
    <w:p w14:paraId="5563516A" w14:textId="5445C8D3" w:rsidR="00306B2E" w:rsidRDefault="00306B2E" w:rsidP="0097062A">
      <w:pPr>
        <w:pStyle w:val="ListParagraph"/>
        <w:numPr>
          <w:ilvl w:val="0"/>
          <w:numId w:val="39"/>
        </w:numPr>
      </w:pPr>
      <w:r w:rsidRPr="50E3E469">
        <w:t>training and development</w:t>
      </w:r>
    </w:p>
    <w:p w14:paraId="5E373628" w14:textId="7C8EE7AC" w:rsidR="00306B2E" w:rsidRDefault="00306B2E" w:rsidP="0097062A">
      <w:pPr>
        <w:pStyle w:val="ListParagraph"/>
        <w:numPr>
          <w:ilvl w:val="0"/>
          <w:numId w:val="39"/>
        </w:numPr>
      </w:pPr>
      <w:r w:rsidRPr="6AD0082D">
        <w:t>culture of organisation</w:t>
      </w:r>
    </w:p>
    <w:p w14:paraId="072596E5" w14:textId="6098D083" w:rsidR="00306B2E" w:rsidRDefault="00306B2E" w:rsidP="0097062A">
      <w:pPr>
        <w:pStyle w:val="ListParagraph"/>
        <w:numPr>
          <w:ilvl w:val="0"/>
          <w:numId w:val="39"/>
        </w:numPr>
      </w:pPr>
      <w:r w:rsidRPr="6AD0082D">
        <w:t>support and staff wellbeing programs</w:t>
      </w:r>
    </w:p>
    <w:p w14:paraId="481A740E" w14:textId="40E2B176" w:rsidR="00306B2E" w:rsidRDefault="00306B2E" w:rsidP="0097062A">
      <w:pPr>
        <w:pStyle w:val="ListParagraph"/>
        <w:numPr>
          <w:ilvl w:val="0"/>
          <w:numId w:val="39"/>
        </w:numPr>
      </w:pPr>
      <w:r w:rsidRPr="6AD0082D">
        <w:t>work</w:t>
      </w:r>
      <w:r w:rsidRPr="4BE15E48">
        <w:t>–</w:t>
      </w:r>
      <w:r w:rsidRPr="6AD0082D">
        <w:t>life balance</w:t>
      </w:r>
    </w:p>
    <w:p w14:paraId="39E32503" w14:textId="5C0DA76F" w:rsidR="00306B2E" w:rsidRDefault="00306B2E" w:rsidP="0097062A">
      <w:pPr>
        <w:pStyle w:val="ListParagraph"/>
        <w:numPr>
          <w:ilvl w:val="0"/>
          <w:numId w:val="39"/>
        </w:numPr>
      </w:pPr>
      <w:r w:rsidRPr="6AD0082D">
        <w:t>competitive pay</w:t>
      </w:r>
    </w:p>
    <w:p w14:paraId="5A0FBB74" w14:textId="4862715F" w:rsidR="00306B2E" w:rsidRDefault="00306B2E" w:rsidP="0097062A">
      <w:pPr>
        <w:pStyle w:val="ListParagraph"/>
        <w:numPr>
          <w:ilvl w:val="0"/>
          <w:numId w:val="39"/>
        </w:numPr>
      </w:pPr>
      <w:r w:rsidRPr="6AD0082D">
        <w:t>flexible work arrangements</w:t>
      </w:r>
    </w:p>
    <w:p w14:paraId="28974967" w14:textId="49F2F09E" w:rsidR="00306B2E" w:rsidRDefault="00306B2E" w:rsidP="0097062A">
      <w:pPr>
        <w:pStyle w:val="ListParagraph"/>
        <w:numPr>
          <w:ilvl w:val="0"/>
          <w:numId w:val="39"/>
        </w:numPr>
      </w:pPr>
      <w:r w:rsidRPr="6AD0082D">
        <w:t>rewards and recognition</w:t>
      </w:r>
    </w:p>
    <w:p w14:paraId="4EE7BC59" w14:textId="603EFAB7" w:rsidR="00306B2E" w:rsidRDefault="00306B2E" w:rsidP="0097062A">
      <w:pPr>
        <w:pStyle w:val="ListParagraph"/>
        <w:numPr>
          <w:ilvl w:val="0"/>
          <w:numId w:val="39"/>
        </w:numPr>
      </w:pPr>
      <w:r w:rsidRPr="6AD0082D">
        <w:t>strong leadership</w:t>
      </w:r>
    </w:p>
    <w:p w14:paraId="2B318A8F" w14:textId="0CB20A78" w:rsidR="00306B2E" w:rsidRDefault="00306B2E" w:rsidP="0097062A">
      <w:pPr>
        <w:pStyle w:val="ListParagraph"/>
        <w:numPr>
          <w:ilvl w:val="0"/>
          <w:numId w:val="39"/>
        </w:numPr>
      </w:pPr>
      <w:r w:rsidRPr="6AD0082D">
        <w:t>good supervision and communication</w:t>
      </w:r>
    </w:p>
    <w:p w14:paraId="269D5CD4" w14:textId="61FEF559" w:rsidR="00306B2E" w:rsidRDefault="00306B2E" w:rsidP="0097062A">
      <w:pPr>
        <w:pStyle w:val="ListParagraph"/>
        <w:numPr>
          <w:ilvl w:val="0"/>
          <w:numId w:val="39"/>
        </w:numPr>
      </w:pPr>
      <w:r w:rsidRPr="6AD0082D">
        <w:t>consistent work availability</w:t>
      </w:r>
    </w:p>
    <w:p w14:paraId="538F8205" w14:textId="5038DA76" w:rsidR="6AD0082D" w:rsidRPr="00306B2E" w:rsidRDefault="00306B2E" w:rsidP="0097062A">
      <w:pPr>
        <w:pStyle w:val="ListParagraph"/>
        <w:numPr>
          <w:ilvl w:val="0"/>
          <w:numId w:val="39"/>
        </w:numPr>
      </w:pPr>
      <w:r w:rsidRPr="6AD0082D">
        <w:t>having in place an attraction and retention strategy</w:t>
      </w:r>
      <w:r>
        <w:t>.</w:t>
      </w:r>
    </w:p>
    <w:p w14:paraId="24B1F500" w14:textId="153971D4" w:rsidR="05B79D20" w:rsidRPr="000B02C8" w:rsidRDefault="05B79D20" w:rsidP="0097062A">
      <w:pPr>
        <w:pStyle w:val="Heading3"/>
      </w:pPr>
      <w:r w:rsidRPr="000B02C8">
        <w:lastRenderedPageBreak/>
        <w:t>Care and Support Economy Reform</w:t>
      </w:r>
    </w:p>
    <w:p w14:paraId="2FD93C5C" w14:textId="74E32DA8" w:rsidR="05B79D20" w:rsidRDefault="05B79D20" w:rsidP="0097062A">
      <w:pPr>
        <w:rPr>
          <w:color w:val="000000" w:themeColor="text1"/>
        </w:rPr>
      </w:pPr>
      <w:r>
        <w:t>The May federal budget announced the establishment of the Care and Support Economy Reform Unit within the Department of the Prime Minister and Cabinet (DPMC) to steward the government’s care and support economy reform agenda. The unit has a coordinating role to align policies and actions across aged care, disability support, veterans’ care and early childhood education and care, and advising on the sequencing and implementation of reforms.</w:t>
      </w:r>
    </w:p>
    <w:p w14:paraId="329795AC" w14:textId="77777777" w:rsidR="004316F3" w:rsidRDefault="05B79D20" w:rsidP="0097062A">
      <w:r>
        <w:t>This step replaces the earlier Care and Support Economy Taskforce by embedding a permanent unit within DPMC to coordinat</w:t>
      </w:r>
      <w:r w:rsidR="00D1385C">
        <w:t>e</w:t>
      </w:r>
      <w:r>
        <w:t xml:space="preserve"> work during reform. NDS remains closely engaged with this new unit.</w:t>
      </w:r>
    </w:p>
    <w:p w14:paraId="4D70D2E0" w14:textId="65BD84AC" w:rsidR="05B79D20" w:rsidRDefault="05B79D20" w:rsidP="0097062A">
      <w:pPr>
        <w:rPr>
          <w:color w:val="000000" w:themeColor="text1"/>
        </w:rPr>
      </w:pPr>
      <w:r>
        <w:t xml:space="preserve">We have advocated for a more unified regulatory framework, including increased collaboration between industry sectors and government jurisdictions </w:t>
      </w:r>
      <w:r w:rsidR="00791EB8">
        <w:t>on</w:t>
      </w:r>
      <w:r>
        <w:t xml:space="preserve"> worker screening and reduce</w:t>
      </w:r>
      <w:r w:rsidR="00734DD3">
        <w:t>d</w:t>
      </w:r>
      <w:r>
        <w:t xml:space="preserve"> duplication of regulatory effort for providers of multiple service streams.</w:t>
      </w:r>
    </w:p>
    <w:p w14:paraId="574CBCE8" w14:textId="619C6E00" w:rsidR="05B79D20" w:rsidRPr="000B02C8" w:rsidRDefault="05B79D20" w:rsidP="0097062A">
      <w:pPr>
        <w:pStyle w:val="Heading3"/>
      </w:pPr>
      <w:proofErr w:type="spellStart"/>
      <w:r w:rsidRPr="000B02C8">
        <w:t>HumanAbility</w:t>
      </w:r>
      <w:proofErr w:type="spellEnd"/>
      <w:r w:rsidRPr="000B02C8">
        <w:t xml:space="preserve"> workforce strategy</w:t>
      </w:r>
    </w:p>
    <w:p w14:paraId="0139BB14" w14:textId="77777777" w:rsidR="004316F3" w:rsidRDefault="6D64DD4A" w:rsidP="0097062A">
      <w:proofErr w:type="spellStart"/>
      <w:r>
        <w:t>HumanAbility</w:t>
      </w:r>
      <w:proofErr w:type="spellEnd"/>
      <w:r w:rsidR="07874F35">
        <w:t xml:space="preserve"> </w:t>
      </w:r>
      <w:r w:rsidR="17125E0A">
        <w:t>is the Jobs and Skills Council formed in 2023 for aged and disability services, children’s education and care, health and human services, and sport and recreation.</w:t>
      </w:r>
    </w:p>
    <w:p w14:paraId="596218F3" w14:textId="7C55C37E" w:rsidR="05B79D20" w:rsidRDefault="05B79D20" w:rsidP="0097062A">
      <w:pPr>
        <w:rPr>
          <w:color w:val="000000" w:themeColor="text1"/>
        </w:rPr>
      </w:pPr>
      <w:proofErr w:type="spellStart"/>
      <w:r>
        <w:t>HumanAbility’s</w:t>
      </w:r>
      <w:proofErr w:type="spellEnd"/>
      <w:r>
        <w:t xml:space="preserve"> initial workforce report, Shortfalls and Skill Gaps: Navigating Workforce Pressures in the Care and Support Sectors, is being used as a basis for a more comprehensive workforce plan to be released later this year. To ensure input from industry</w:t>
      </w:r>
      <w:r w:rsidR="00E41EDF">
        <w:t>,</w:t>
      </w:r>
      <w:r>
        <w:t xml:space="preserve"> there have been </w:t>
      </w:r>
      <w:proofErr w:type="gramStart"/>
      <w:r>
        <w:t>a number of</w:t>
      </w:r>
      <w:proofErr w:type="gramEnd"/>
      <w:r>
        <w:t xml:space="preserve"> consultation</w:t>
      </w:r>
      <w:r w:rsidR="00E41EDF">
        <w:t>s</w:t>
      </w:r>
      <w:r>
        <w:t xml:space="preserve"> across the country, including a state and territory roadshow, regional forums, a</w:t>
      </w:r>
      <w:r w:rsidR="00FE7CFF">
        <w:t>n</w:t>
      </w:r>
      <w:r w:rsidR="00046419">
        <w:t>d</w:t>
      </w:r>
      <w:r w:rsidR="00FE7CFF">
        <w:t xml:space="preserve"> </w:t>
      </w:r>
      <w:r w:rsidR="00046419">
        <w:t>th</w:t>
      </w:r>
      <w:r>
        <w:t>e national forum in Canberra. The insights and le</w:t>
      </w:r>
      <w:r w:rsidR="00046419">
        <w:t>ssons</w:t>
      </w:r>
      <w:r>
        <w:t xml:space="preserve"> from these events help</w:t>
      </w:r>
      <w:r w:rsidR="00540E85">
        <w:t>ed</w:t>
      </w:r>
      <w:r>
        <w:t xml:space="preserve"> shape workforce planning and strategy. The sector is eagerly awaiting a new comprehensive and integrated workforce plan and looking forward to working collaboratively to improve attraction and retention across the sector.</w:t>
      </w:r>
    </w:p>
    <w:p w14:paraId="5DF3CFF9" w14:textId="77777777" w:rsidR="004316F3" w:rsidRDefault="05B79D20" w:rsidP="0097062A">
      <w:r>
        <w:t xml:space="preserve">Providing a meaningful career and developing fit for purpose qualifications have been a bugbear for the sector </w:t>
      </w:r>
      <w:r w:rsidR="004B0897">
        <w:t xml:space="preserve">for </w:t>
      </w:r>
      <w:r>
        <w:t xml:space="preserve">years. Two current projects with a focus on these areas hold promise </w:t>
      </w:r>
      <w:r w:rsidR="007C724F">
        <w:t>of</w:t>
      </w:r>
      <w:r w:rsidR="00C23EF1">
        <w:t xml:space="preserve"> </w:t>
      </w:r>
      <w:r>
        <w:t xml:space="preserve">ways forward. </w:t>
      </w:r>
      <w:r w:rsidR="00D557F4">
        <w:t>One will</w:t>
      </w:r>
      <w:r>
        <w:t xml:space="preserve"> </w:t>
      </w:r>
      <w:r w:rsidR="00D557F4">
        <w:t>i</w:t>
      </w:r>
      <w:r>
        <w:t>dentify and map</w:t>
      </w:r>
      <w:r w:rsidR="00D557F4">
        <w:t xml:space="preserve"> </w:t>
      </w:r>
      <w:r>
        <w:t xml:space="preserve">career pathways for </w:t>
      </w:r>
      <w:r>
        <w:lastRenderedPageBreak/>
        <w:t xml:space="preserve">care and support sectors, and </w:t>
      </w:r>
      <w:r w:rsidR="00030649">
        <w:t>the other will r</w:t>
      </w:r>
      <w:r>
        <w:t>eview individual and disability support qualifications.</w:t>
      </w:r>
    </w:p>
    <w:p w14:paraId="24BE0386" w14:textId="77777777" w:rsidR="004316F3" w:rsidRDefault="05B79D20" w:rsidP="0097062A">
      <w:r>
        <w:t xml:space="preserve">NDS remains engaged with </w:t>
      </w:r>
      <w:proofErr w:type="spellStart"/>
      <w:r>
        <w:t>HumanAbility</w:t>
      </w:r>
      <w:proofErr w:type="spellEnd"/>
      <w:r>
        <w:t xml:space="preserve"> at all levels, including governance and industry reference and working groups.</w:t>
      </w:r>
    </w:p>
    <w:p w14:paraId="32B3CBF6" w14:textId="77777777" w:rsidR="004316F3" w:rsidRDefault="05B79D20" w:rsidP="0097062A">
      <w:pPr>
        <w:pStyle w:val="Heading3"/>
      </w:pPr>
      <w:r w:rsidRPr="6AD0082D">
        <w:t xml:space="preserve">State of the </w:t>
      </w:r>
      <w:r w:rsidRPr="006028B1">
        <w:t>industrial</w:t>
      </w:r>
      <w:r w:rsidRPr="6AD0082D">
        <w:t xml:space="preserve"> relations environment</w:t>
      </w:r>
    </w:p>
    <w:p w14:paraId="5E2F62BC" w14:textId="77777777" w:rsidR="004316F3" w:rsidRDefault="17125E0A" w:rsidP="0097062A">
      <w:r>
        <w:t xml:space="preserve">NDS continues to focus on the significant changes in the industrial relations environment. The changes introduced with the passing of the </w:t>
      </w:r>
      <w:r w:rsidR="3BA822D1">
        <w:t xml:space="preserve">Fair Work Legislation Amendment </w:t>
      </w:r>
      <w:r w:rsidR="764FC4A4">
        <w:t xml:space="preserve">Closing Loopholes Act 2023 and </w:t>
      </w:r>
      <w:r w:rsidR="003A4EDE">
        <w:t>Fair Work Legislation Amendmen</w:t>
      </w:r>
      <w:r w:rsidR="000C691E">
        <w:t>t</w:t>
      </w:r>
      <w:r w:rsidR="003A4EDE">
        <w:t xml:space="preserve"> </w:t>
      </w:r>
      <w:r w:rsidR="764FC4A4">
        <w:t xml:space="preserve">Closing Loopholes No. 2 Act 2024 </w:t>
      </w:r>
      <w:r w:rsidR="470DDFC9">
        <w:t>c</w:t>
      </w:r>
      <w:r>
        <w:t>ame into effect throughout the year, introducing new definitions of a casual worker, changes to casual conversion provisions, and rights for workers to disconnect from the workplace.</w:t>
      </w:r>
      <w:r w:rsidR="27D95EDA">
        <w:t xml:space="preserve"> </w:t>
      </w:r>
      <w:r>
        <w:t>In conjunction with its annual wage review, the Fair Work Commission (FWC)</w:t>
      </w:r>
      <w:r w:rsidR="33967D90">
        <w:t xml:space="preserve"> </w:t>
      </w:r>
      <w:r>
        <w:t xml:space="preserve">announced that disability home care workers and other social and community services workers covered under the </w:t>
      </w:r>
      <w:r w:rsidR="785E6BB5">
        <w:t>Social, Community, Home Care and Disability Services (SCHADS) Industry Award</w:t>
      </w:r>
      <w:r w:rsidR="00046317">
        <w:t xml:space="preserve"> </w:t>
      </w:r>
      <w:r>
        <w:t>will be included in a priority list of occupations with potential gender undervaluation issues in their modern awards. The FWC is now reviewing the SCHADS Award classifications and minimum wage rates on work value grounds to remedy potential gender undervaluation, with an outcome expected by June 2025.</w:t>
      </w:r>
    </w:p>
    <w:p w14:paraId="1F3F8FCD" w14:textId="77777777" w:rsidR="004316F3" w:rsidRDefault="05B79D20" w:rsidP="0097062A">
      <w:r>
        <w:t>NDS has retained legal representation in these proceedings and will continue to engage with NDS members on any developments.</w:t>
      </w:r>
    </w:p>
    <w:p w14:paraId="042BC7E6" w14:textId="5AEBB304" w:rsidR="05B79D20" w:rsidRDefault="17125E0A" w:rsidP="0097062A">
      <w:pPr>
        <w:pStyle w:val="Heading3"/>
        <w:rPr>
          <w:color w:val="auto"/>
        </w:rPr>
      </w:pPr>
      <w:r w:rsidRPr="50E3E469">
        <w:rPr>
          <w:lang w:val="en-US"/>
        </w:rPr>
        <w:t>What</w:t>
      </w:r>
      <w:r w:rsidR="5B43483F" w:rsidRPr="50E3E469">
        <w:rPr>
          <w:lang w:val="en-US"/>
        </w:rPr>
        <w:t>’s</w:t>
      </w:r>
      <w:r w:rsidRPr="50E3E469">
        <w:rPr>
          <w:lang w:val="en-US"/>
        </w:rPr>
        <w:t xml:space="preserve"> next</w:t>
      </w:r>
      <w:r w:rsidR="13AA1848" w:rsidRPr="50E3E469">
        <w:rPr>
          <w:lang w:val="en-US"/>
        </w:rPr>
        <w:t>?</w:t>
      </w:r>
    </w:p>
    <w:p w14:paraId="67767EC9" w14:textId="29C03D00" w:rsidR="05B79D20" w:rsidRDefault="00883AF5" w:rsidP="0097062A">
      <w:r>
        <w:t>To</w:t>
      </w:r>
      <w:r w:rsidR="05B79D20">
        <w:t xml:space="preserve"> address a rapidly growing demand, the disability sector workforce needs to grow at </w:t>
      </w:r>
      <w:r w:rsidR="10F75743">
        <w:t xml:space="preserve">an </w:t>
      </w:r>
      <w:r w:rsidR="05B79D20">
        <w:t>equally fast</w:t>
      </w:r>
      <w:r w:rsidR="300ED5EA">
        <w:t xml:space="preserve"> rate</w:t>
      </w:r>
      <w:r>
        <w:t>.</w:t>
      </w:r>
      <w:r w:rsidR="05B79D20">
        <w:t xml:space="preserve"> However, insights from the sector reveal that </w:t>
      </w:r>
      <w:r w:rsidR="00B033FA">
        <w:t xml:space="preserve">the </w:t>
      </w:r>
      <w:r w:rsidR="05B79D20">
        <w:t>workforce fac</w:t>
      </w:r>
      <w:r w:rsidR="002E7783">
        <w:t>es</w:t>
      </w:r>
      <w:r w:rsidR="05B79D20">
        <w:t xml:space="preserve"> numerous challenges that prevent it from meeting the community’s needs, including entrenched workforce shortages, high turnover rates, lack of visible career pathways and staff burnout.</w:t>
      </w:r>
    </w:p>
    <w:p w14:paraId="6DE1E79D" w14:textId="2C3BE1E6" w:rsidR="05B79D20" w:rsidRDefault="05B79D20" w:rsidP="0097062A">
      <w:r>
        <w:t xml:space="preserve">Workers are key to the disability sector’s success and ensuring the provision of safe, quality disability services. Building positive cultures with capable leadership, </w:t>
      </w:r>
      <w:r>
        <w:lastRenderedPageBreak/>
        <w:t xml:space="preserve">opportunities for learning, and clear career pathways </w:t>
      </w:r>
      <w:r w:rsidR="00545AFC">
        <w:t>is</w:t>
      </w:r>
      <w:r>
        <w:t xml:space="preserve"> crucial to achieve sector sustainability.</w:t>
      </w:r>
    </w:p>
    <w:p w14:paraId="02DCA751" w14:textId="77777777" w:rsidR="004316F3" w:rsidRDefault="05B79D20" w:rsidP="0097062A">
      <w:r>
        <w:t>NDS is committed to advocating for a</w:t>
      </w:r>
      <w:r w:rsidR="3BF37BFD">
        <w:t xml:space="preserve"> strategic</w:t>
      </w:r>
      <w:r w:rsidR="00046317">
        <w:t xml:space="preserve"> </w:t>
      </w:r>
      <w:r>
        <w:t>approach to workforce challenges that sees funded and coordinated strategies and initiatives to address the key challenges being experienced across the sector.</w:t>
      </w:r>
    </w:p>
    <w:p w14:paraId="47107359" w14:textId="2F559FB5" w:rsidR="6E56C83F" w:rsidRDefault="6E56C83F" w:rsidP="0097062A">
      <w:pPr>
        <w:pStyle w:val="Heading2"/>
        <w:rPr>
          <w:lang w:val="en-GB"/>
        </w:rPr>
      </w:pPr>
      <w:bookmarkStart w:id="117" w:name="_Toc180593635"/>
      <w:bookmarkStart w:id="118" w:name="_Toc181352008"/>
      <w:bookmarkStart w:id="119" w:name="_Toc184287172"/>
      <w:r w:rsidRPr="50E3E469">
        <w:rPr>
          <w:lang w:val="en-GB"/>
        </w:rPr>
        <w:lastRenderedPageBreak/>
        <w:t xml:space="preserve">Member story: </w:t>
      </w:r>
      <w:bookmarkEnd w:id="117"/>
      <w:bookmarkEnd w:id="118"/>
      <w:r w:rsidR="006028B1">
        <w:rPr>
          <w:lang w:val="en-GB"/>
        </w:rPr>
        <w:t>finding new workforce solutions</w:t>
      </w:r>
      <w:bookmarkEnd w:id="119"/>
    </w:p>
    <w:p w14:paraId="431D9829" w14:textId="77777777" w:rsidR="004316F3" w:rsidRDefault="006028B1" w:rsidP="0097062A">
      <w:pPr>
        <w:pStyle w:val="Heading3"/>
      </w:pPr>
      <w:proofErr w:type="spellStart"/>
      <w:r w:rsidRPr="006028B1">
        <w:t>Hireup</w:t>
      </w:r>
      <w:proofErr w:type="spellEnd"/>
      <w:r w:rsidRPr="006028B1">
        <w:t>, Australia wide</w:t>
      </w:r>
    </w:p>
    <w:p w14:paraId="2A73B429" w14:textId="4892CF0A" w:rsidR="6E56C83F" w:rsidRDefault="6E56C83F" w:rsidP="0097062A">
      <w:pPr>
        <w:rPr>
          <w:color w:val="000000" w:themeColor="text1"/>
        </w:rPr>
      </w:pPr>
      <w:proofErr w:type="spellStart"/>
      <w:r w:rsidRPr="644B5232">
        <w:rPr>
          <w:lang w:val="en-GB"/>
        </w:rPr>
        <w:t>Hireup</w:t>
      </w:r>
      <w:proofErr w:type="spellEnd"/>
      <w:r w:rsidRPr="644B5232">
        <w:rPr>
          <w:lang w:val="en-GB"/>
        </w:rPr>
        <w:t xml:space="preserve"> is a registered online platform provider that empowers people with disability and their families to find and hire support workers on their terms. </w:t>
      </w:r>
      <w:proofErr w:type="spellStart"/>
      <w:r w:rsidRPr="644B5232">
        <w:rPr>
          <w:lang w:val="en-GB"/>
        </w:rPr>
        <w:t>Hireup</w:t>
      </w:r>
      <w:proofErr w:type="spellEnd"/>
      <w:r w:rsidRPr="644B5232">
        <w:rPr>
          <w:lang w:val="en-GB"/>
        </w:rPr>
        <w:t xml:space="preserve"> makes it easy to find, book and manage support in one place.</w:t>
      </w:r>
    </w:p>
    <w:p w14:paraId="1B63D960" w14:textId="45B980CB" w:rsidR="6E56C83F" w:rsidRPr="006028B1" w:rsidRDefault="6E56C83F" w:rsidP="0097062A">
      <w:pPr>
        <w:pStyle w:val="Heading4"/>
      </w:pPr>
      <w:r w:rsidRPr="006028B1">
        <w:t xml:space="preserve">How </w:t>
      </w:r>
      <w:proofErr w:type="spellStart"/>
      <w:r w:rsidRPr="006028B1">
        <w:t>Hireup</w:t>
      </w:r>
      <w:proofErr w:type="spellEnd"/>
      <w:r w:rsidRPr="006028B1">
        <w:t xml:space="preserve"> came about</w:t>
      </w:r>
    </w:p>
    <w:p w14:paraId="128CC5D5" w14:textId="77777777" w:rsidR="004316F3" w:rsidRDefault="6E56C83F" w:rsidP="0097062A">
      <w:pPr>
        <w:rPr>
          <w:lang w:val="en-GB"/>
        </w:rPr>
      </w:pPr>
      <w:r w:rsidRPr="50E3E469">
        <w:rPr>
          <w:lang w:val="en-GB"/>
        </w:rPr>
        <w:t xml:space="preserve">The impetus for </w:t>
      </w:r>
      <w:proofErr w:type="spellStart"/>
      <w:r w:rsidRPr="50E3E469">
        <w:rPr>
          <w:lang w:val="en-GB"/>
        </w:rPr>
        <w:t>Hireup</w:t>
      </w:r>
      <w:proofErr w:type="spellEnd"/>
      <w:r w:rsidRPr="50E3E469">
        <w:rPr>
          <w:lang w:val="en-GB"/>
        </w:rPr>
        <w:t xml:space="preserve"> came from its founders, brother and sister duo Laura and Jordan O’Reilly</w:t>
      </w:r>
      <w:r w:rsidR="002E7783">
        <w:rPr>
          <w:lang w:val="en-GB"/>
        </w:rPr>
        <w:t>,</w:t>
      </w:r>
      <w:r w:rsidRPr="50E3E469">
        <w:rPr>
          <w:lang w:val="en-GB"/>
        </w:rPr>
        <w:t xml:space="preserve"> who grew up alongside a brother with disability. Managing support workers was a regular part of their family’s life. While one or two agency workers fit seamlessly into their routine, many didn’t. Later, while at university, Jordan became a disability support worker and saw that the system wasn’t just broken for families — it was flawed for workers too.</w:t>
      </w:r>
    </w:p>
    <w:p w14:paraId="159D55E7" w14:textId="77777777" w:rsidR="004316F3" w:rsidRDefault="6E56C83F" w:rsidP="0097062A">
      <w:pPr>
        <w:rPr>
          <w:lang w:val="en-GB"/>
        </w:rPr>
      </w:pPr>
      <w:r w:rsidRPr="50E3E469">
        <w:rPr>
          <w:lang w:val="en-GB"/>
        </w:rPr>
        <w:t xml:space="preserve">In 2015, through this personal experience, </w:t>
      </w:r>
      <w:proofErr w:type="spellStart"/>
      <w:r w:rsidRPr="50E3E469">
        <w:rPr>
          <w:lang w:val="en-GB"/>
        </w:rPr>
        <w:t>Hireup</w:t>
      </w:r>
      <w:proofErr w:type="spellEnd"/>
      <w:r w:rsidRPr="50E3E469">
        <w:rPr>
          <w:lang w:val="en-GB"/>
        </w:rPr>
        <w:t xml:space="preserve"> was created — a platform that offers people with disability greater flexibility, choice and control over their support, while also providing better conditions for workers.</w:t>
      </w:r>
    </w:p>
    <w:p w14:paraId="56A9D43C" w14:textId="3D8E4296" w:rsidR="6E56C83F" w:rsidRPr="006028B1" w:rsidRDefault="6E56C83F" w:rsidP="0097062A">
      <w:pPr>
        <w:pStyle w:val="Heading4"/>
      </w:pPr>
      <w:r w:rsidRPr="006028B1">
        <w:t xml:space="preserve">About the </w:t>
      </w:r>
      <w:proofErr w:type="spellStart"/>
      <w:r w:rsidRPr="006028B1">
        <w:t>Hireup</w:t>
      </w:r>
      <w:proofErr w:type="spellEnd"/>
      <w:r w:rsidRPr="006028B1">
        <w:t xml:space="preserve"> model</w:t>
      </w:r>
    </w:p>
    <w:p w14:paraId="22193074" w14:textId="190DD3DB" w:rsidR="6E56C83F" w:rsidRDefault="6E56C83F" w:rsidP="0097062A">
      <w:pPr>
        <w:rPr>
          <w:color w:val="000000" w:themeColor="text1"/>
        </w:rPr>
      </w:pPr>
      <w:r w:rsidRPr="644B5232">
        <w:rPr>
          <w:lang w:val="en-GB"/>
        </w:rPr>
        <w:t xml:space="preserve">We spoke with </w:t>
      </w:r>
      <w:proofErr w:type="spellStart"/>
      <w:r w:rsidRPr="644B5232">
        <w:rPr>
          <w:lang w:val="en-GB"/>
        </w:rPr>
        <w:t>Hireup</w:t>
      </w:r>
      <w:proofErr w:type="spellEnd"/>
      <w:r w:rsidRPr="644B5232">
        <w:rPr>
          <w:lang w:val="en-GB"/>
        </w:rPr>
        <w:t xml:space="preserve"> </w:t>
      </w:r>
      <w:r w:rsidR="00545AFC">
        <w:rPr>
          <w:lang w:val="en-GB"/>
        </w:rPr>
        <w:t>representatives,</w:t>
      </w:r>
      <w:r w:rsidRPr="644B5232">
        <w:rPr>
          <w:lang w:val="en-GB"/>
        </w:rPr>
        <w:t xml:space="preserve"> Bianca Smith and Priya </w:t>
      </w:r>
      <w:proofErr w:type="spellStart"/>
      <w:r w:rsidRPr="644B5232">
        <w:rPr>
          <w:lang w:val="en-GB"/>
        </w:rPr>
        <w:t>Pagaddinnimath</w:t>
      </w:r>
      <w:proofErr w:type="spellEnd"/>
      <w:r w:rsidRPr="644B5232">
        <w:rPr>
          <w:lang w:val="en-GB"/>
        </w:rPr>
        <w:t xml:space="preserve">. Bianca, as the Head of New Business Providers, works with NDIS-registered providers across Australia, helping them access </w:t>
      </w:r>
      <w:proofErr w:type="spellStart"/>
      <w:r w:rsidRPr="644B5232">
        <w:rPr>
          <w:lang w:val="en-GB"/>
        </w:rPr>
        <w:t>Hireup’s</w:t>
      </w:r>
      <w:proofErr w:type="spellEnd"/>
      <w:r w:rsidRPr="644B5232">
        <w:rPr>
          <w:lang w:val="en-GB"/>
        </w:rPr>
        <w:t xml:space="preserve"> workforce to fill gaps in their rosters, while Priya is the National Lead for Government Affairs and deals with advocacy and reform.</w:t>
      </w:r>
    </w:p>
    <w:p w14:paraId="0D61A5EB" w14:textId="148157A6" w:rsidR="6E56C83F" w:rsidRDefault="6E56C83F" w:rsidP="0097062A">
      <w:pPr>
        <w:rPr>
          <w:color w:val="000000" w:themeColor="text1"/>
        </w:rPr>
      </w:pPr>
      <w:r w:rsidRPr="644B5232">
        <w:rPr>
          <w:lang w:val="en-GB"/>
        </w:rPr>
        <w:t xml:space="preserve">The </w:t>
      </w:r>
      <w:proofErr w:type="spellStart"/>
      <w:r w:rsidRPr="644B5232">
        <w:rPr>
          <w:lang w:val="en-GB"/>
        </w:rPr>
        <w:t>Hireup</w:t>
      </w:r>
      <w:proofErr w:type="spellEnd"/>
      <w:r w:rsidRPr="644B5232">
        <w:rPr>
          <w:lang w:val="en-GB"/>
        </w:rPr>
        <w:t xml:space="preserve"> platform put</w:t>
      </w:r>
      <w:r w:rsidR="00545AFC">
        <w:rPr>
          <w:lang w:val="en-GB"/>
        </w:rPr>
        <w:t>s</w:t>
      </w:r>
      <w:r w:rsidRPr="644B5232">
        <w:rPr>
          <w:lang w:val="en-GB"/>
        </w:rPr>
        <w:t xml:space="preserve"> people with disability at the centre of their support. </w:t>
      </w:r>
      <w:proofErr w:type="spellStart"/>
      <w:r w:rsidRPr="644B5232">
        <w:rPr>
          <w:lang w:val="en-GB"/>
        </w:rPr>
        <w:t>Hireup</w:t>
      </w:r>
      <w:proofErr w:type="spellEnd"/>
      <w:r w:rsidRPr="644B5232">
        <w:rPr>
          <w:lang w:val="en-GB"/>
        </w:rPr>
        <w:t xml:space="preserve"> lets users easily view key details about potential workers, including their work history and the types of support they provide.</w:t>
      </w:r>
    </w:p>
    <w:p w14:paraId="147E8DE5" w14:textId="428535ED" w:rsidR="6E56C83F" w:rsidRDefault="6E56C83F" w:rsidP="0097062A">
      <w:pPr>
        <w:rPr>
          <w:lang w:val="en-GB"/>
        </w:rPr>
      </w:pPr>
      <w:r w:rsidRPr="644B5232">
        <w:rPr>
          <w:lang w:val="en-GB"/>
        </w:rPr>
        <w:t>Priya summed up the benefits of this model</w:t>
      </w:r>
      <w:r w:rsidR="008E74A0" w:rsidRPr="1C695898">
        <w:rPr>
          <w:lang w:val="en-GB"/>
        </w:rPr>
        <w:t>:</w:t>
      </w:r>
      <w:r w:rsidRPr="644B5232">
        <w:rPr>
          <w:lang w:val="en-GB"/>
        </w:rPr>
        <w:t xml:space="preserve"> </w:t>
      </w:r>
      <w:r w:rsidR="2EBB1AC1" w:rsidRPr="644B5232">
        <w:rPr>
          <w:lang w:val="en-GB"/>
        </w:rPr>
        <w:t>“</w:t>
      </w:r>
      <w:r w:rsidRPr="644B5232">
        <w:rPr>
          <w:lang w:val="en-GB"/>
        </w:rPr>
        <w:t>There's no better way to have choice and control where you're involved directly in selecting who's coming to your home.</w:t>
      </w:r>
      <w:r w:rsidR="1D0CCE15" w:rsidRPr="644B5232">
        <w:rPr>
          <w:lang w:val="en-GB"/>
        </w:rPr>
        <w:t>”</w:t>
      </w:r>
    </w:p>
    <w:p w14:paraId="1C4DE4C3" w14:textId="0B7295E0" w:rsidR="6E56C83F" w:rsidRPr="006028B1" w:rsidRDefault="6E56C83F" w:rsidP="0097062A">
      <w:pPr>
        <w:pStyle w:val="Heading4"/>
      </w:pPr>
      <w:proofErr w:type="spellStart"/>
      <w:r w:rsidRPr="006028B1">
        <w:lastRenderedPageBreak/>
        <w:t>Hireup</w:t>
      </w:r>
      <w:proofErr w:type="spellEnd"/>
      <w:r w:rsidRPr="006028B1">
        <w:t xml:space="preserve"> for Providers</w:t>
      </w:r>
    </w:p>
    <w:p w14:paraId="5324BDB6" w14:textId="45EC5E82" w:rsidR="6E56C83F" w:rsidRDefault="6E56C83F" w:rsidP="0097062A">
      <w:pPr>
        <w:rPr>
          <w:color w:val="000000" w:themeColor="text1"/>
        </w:rPr>
      </w:pPr>
      <w:r w:rsidRPr="644B5232">
        <w:rPr>
          <w:lang w:val="en-GB"/>
        </w:rPr>
        <w:t xml:space="preserve">During the height of the COVID-19 pandemic, </w:t>
      </w:r>
      <w:proofErr w:type="spellStart"/>
      <w:r w:rsidRPr="644B5232">
        <w:rPr>
          <w:lang w:val="en-GB"/>
        </w:rPr>
        <w:t>Hireup</w:t>
      </w:r>
      <w:proofErr w:type="spellEnd"/>
      <w:r w:rsidRPr="644B5232">
        <w:rPr>
          <w:lang w:val="en-GB"/>
        </w:rPr>
        <w:t xml:space="preserve"> was approached by </w:t>
      </w:r>
      <w:r w:rsidR="00545AFC">
        <w:rPr>
          <w:lang w:val="en-GB"/>
        </w:rPr>
        <w:t>several</w:t>
      </w:r>
      <w:r w:rsidRPr="644B5232">
        <w:rPr>
          <w:lang w:val="en-GB"/>
        </w:rPr>
        <w:t xml:space="preserve"> providers who were interested in accessing </w:t>
      </w:r>
      <w:proofErr w:type="spellStart"/>
      <w:r w:rsidRPr="644B5232">
        <w:rPr>
          <w:lang w:val="en-GB"/>
        </w:rPr>
        <w:t>Hireup’s</w:t>
      </w:r>
      <w:proofErr w:type="spellEnd"/>
      <w:r w:rsidRPr="644B5232">
        <w:rPr>
          <w:lang w:val="en-GB"/>
        </w:rPr>
        <w:t xml:space="preserve"> workforce as a back-up in the case of staff shortages. In response, </w:t>
      </w:r>
      <w:proofErr w:type="spellStart"/>
      <w:r w:rsidRPr="644B5232">
        <w:rPr>
          <w:lang w:val="en-GB"/>
        </w:rPr>
        <w:t>Hireup</w:t>
      </w:r>
      <w:proofErr w:type="spellEnd"/>
      <w:r w:rsidRPr="644B5232">
        <w:rPr>
          <w:lang w:val="en-GB"/>
        </w:rPr>
        <w:t xml:space="preserve"> created </w:t>
      </w:r>
      <w:proofErr w:type="spellStart"/>
      <w:r w:rsidRPr="644B5232">
        <w:rPr>
          <w:lang w:val="en-GB"/>
        </w:rPr>
        <w:t>Hireup</w:t>
      </w:r>
      <w:proofErr w:type="spellEnd"/>
      <w:r w:rsidRPr="644B5232">
        <w:rPr>
          <w:lang w:val="en-GB"/>
        </w:rPr>
        <w:t xml:space="preserve"> for Providers, a staffing service for NDIS and aged care providers to augment their workforce. Today, </w:t>
      </w:r>
      <w:proofErr w:type="spellStart"/>
      <w:r w:rsidRPr="644B5232">
        <w:rPr>
          <w:lang w:val="en-GB"/>
        </w:rPr>
        <w:t>Hireup</w:t>
      </w:r>
      <w:proofErr w:type="spellEnd"/>
      <w:r w:rsidRPr="644B5232">
        <w:rPr>
          <w:lang w:val="en-GB"/>
        </w:rPr>
        <w:t xml:space="preserve"> for Providers is used by up to 150 providers each month looking for the whole spectrum of shift cover — overnight, in home, community and lifestyle support. They have delivered a staggering 145,000 hours of support in the past 12 months.</w:t>
      </w:r>
    </w:p>
    <w:p w14:paraId="0D5E9593" w14:textId="77777777" w:rsidR="004316F3" w:rsidRDefault="6E56C83F" w:rsidP="0097062A">
      <w:pPr>
        <w:rPr>
          <w:lang w:val="en-GB"/>
        </w:rPr>
      </w:pPr>
      <w:proofErr w:type="spellStart"/>
      <w:r w:rsidRPr="50E3E469">
        <w:rPr>
          <w:lang w:val="en-GB"/>
        </w:rPr>
        <w:t>Hireup</w:t>
      </w:r>
      <w:proofErr w:type="spellEnd"/>
      <w:r w:rsidRPr="50E3E469">
        <w:rPr>
          <w:lang w:val="en-GB"/>
        </w:rPr>
        <w:t xml:space="preserve"> offers over 10,000 verified and employed temporary staff as part of its </w:t>
      </w:r>
      <w:proofErr w:type="spellStart"/>
      <w:r w:rsidRPr="50E3E469">
        <w:rPr>
          <w:lang w:val="en-GB"/>
        </w:rPr>
        <w:t>Hireup</w:t>
      </w:r>
      <w:proofErr w:type="spellEnd"/>
      <w:r w:rsidRPr="50E3E469">
        <w:rPr>
          <w:lang w:val="en-GB"/>
        </w:rPr>
        <w:t xml:space="preserve"> for Providers staffing service. The service connects providers with workers to fill roster gaps, cover service areas where they lack staff, reduce overtime spend, and address various staffing challenges.</w:t>
      </w:r>
    </w:p>
    <w:p w14:paraId="0B19BECC" w14:textId="4FF5377D" w:rsidR="6E56C83F" w:rsidRDefault="6E56C83F" w:rsidP="0097062A">
      <w:pPr>
        <w:pStyle w:val="Heading4"/>
      </w:pPr>
      <w:r w:rsidRPr="6AD0082D">
        <w:rPr>
          <w:lang w:val="en-GB"/>
        </w:rPr>
        <w:t xml:space="preserve">Protection for </w:t>
      </w:r>
      <w:proofErr w:type="spellStart"/>
      <w:r w:rsidRPr="6AD0082D">
        <w:rPr>
          <w:lang w:val="en-GB"/>
        </w:rPr>
        <w:t>Hireup</w:t>
      </w:r>
      <w:proofErr w:type="spellEnd"/>
      <w:r w:rsidRPr="6AD0082D">
        <w:rPr>
          <w:lang w:val="en-GB"/>
        </w:rPr>
        <w:t xml:space="preserve"> employees</w:t>
      </w:r>
    </w:p>
    <w:p w14:paraId="1ADA6D5D" w14:textId="77777777" w:rsidR="004316F3" w:rsidRDefault="6E56C83F" w:rsidP="0097062A">
      <w:pPr>
        <w:rPr>
          <w:lang w:val="en-GB"/>
        </w:rPr>
      </w:pPr>
      <w:r w:rsidRPr="50E3E469">
        <w:rPr>
          <w:lang w:val="en-GB"/>
        </w:rPr>
        <w:t xml:space="preserve">Unlike most platform-providers, </w:t>
      </w:r>
      <w:proofErr w:type="spellStart"/>
      <w:r w:rsidRPr="50E3E469">
        <w:rPr>
          <w:lang w:val="en-GB"/>
        </w:rPr>
        <w:t>Hireup</w:t>
      </w:r>
      <w:proofErr w:type="spellEnd"/>
      <w:r w:rsidRPr="50E3E469">
        <w:rPr>
          <w:lang w:val="en-GB"/>
        </w:rPr>
        <w:t xml:space="preserve"> directly employs </w:t>
      </w:r>
      <w:proofErr w:type="gramStart"/>
      <w:r w:rsidRPr="50E3E469">
        <w:rPr>
          <w:lang w:val="en-GB"/>
        </w:rPr>
        <w:t>all of</w:t>
      </w:r>
      <w:proofErr w:type="gramEnd"/>
      <w:r w:rsidRPr="50E3E469">
        <w:rPr>
          <w:lang w:val="en-GB"/>
        </w:rPr>
        <w:t xml:space="preserve"> their support workers, and does not use ABN contractors. </w:t>
      </w:r>
      <w:proofErr w:type="spellStart"/>
      <w:r w:rsidRPr="50E3E469">
        <w:rPr>
          <w:lang w:val="en-GB"/>
        </w:rPr>
        <w:t>Hireup</w:t>
      </w:r>
      <w:proofErr w:type="spellEnd"/>
      <w:r w:rsidRPr="50E3E469">
        <w:rPr>
          <w:lang w:val="en-GB"/>
        </w:rPr>
        <w:t xml:space="preserve"> ensures its employees have access to important protections and entitlements, including award wages, superannuation and worker’s compensation. These safeguards are essential </w:t>
      </w:r>
      <w:r w:rsidR="00545AFC">
        <w:rPr>
          <w:lang w:val="en-GB"/>
        </w:rPr>
        <w:t>to</w:t>
      </w:r>
      <w:r w:rsidRPr="50E3E469">
        <w:rPr>
          <w:lang w:val="en-GB"/>
        </w:rPr>
        <w:t xml:space="preserve"> disability support work, which is often long-term and relational, often with high injury rates.</w:t>
      </w:r>
    </w:p>
    <w:p w14:paraId="3721F14D" w14:textId="009CCFBE" w:rsidR="6E56C83F" w:rsidRDefault="6E56C83F" w:rsidP="0097062A">
      <w:pPr>
        <w:rPr>
          <w:color w:val="000000" w:themeColor="text1"/>
        </w:rPr>
      </w:pPr>
      <w:r w:rsidRPr="644B5232">
        <w:rPr>
          <w:lang w:val="en-GB"/>
        </w:rPr>
        <w:t xml:space="preserve">It was interesting to learn that </w:t>
      </w:r>
      <w:r w:rsidR="00545AFC">
        <w:rPr>
          <w:lang w:val="en-GB"/>
        </w:rPr>
        <w:t>over a hundred</w:t>
      </w:r>
      <w:r w:rsidRPr="644B5232">
        <w:rPr>
          <w:lang w:val="en-GB"/>
        </w:rPr>
        <w:t xml:space="preserve"> employees have transitioned from </w:t>
      </w:r>
      <w:proofErr w:type="spellStart"/>
      <w:r w:rsidRPr="644B5232">
        <w:rPr>
          <w:lang w:val="en-GB"/>
        </w:rPr>
        <w:t>Hireup</w:t>
      </w:r>
      <w:proofErr w:type="spellEnd"/>
      <w:r w:rsidRPr="644B5232">
        <w:rPr>
          <w:lang w:val="en-GB"/>
        </w:rPr>
        <w:t xml:space="preserve"> to become direct employees of NDIS organisations using the </w:t>
      </w:r>
      <w:proofErr w:type="spellStart"/>
      <w:r w:rsidRPr="644B5232">
        <w:rPr>
          <w:lang w:val="en-GB"/>
        </w:rPr>
        <w:t>Hireup</w:t>
      </w:r>
      <w:proofErr w:type="spellEnd"/>
      <w:r w:rsidRPr="644B5232">
        <w:rPr>
          <w:lang w:val="en-GB"/>
        </w:rPr>
        <w:t xml:space="preserve"> for Providers service. Starting as casuals, many recruits find they are a great match with a </w:t>
      </w:r>
      <w:r w:rsidR="00545AFC">
        <w:rPr>
          <w:lang w:val="en-GB"/>
        </w:rPr>
        <w:t>participant,</w:t>
      </w:r>
      <w:r w:rsidRPr="644B5232">
        <w:rPr>
          <w:lang w:val="en-GB"/>
        </w:rPr>
        <w:t xml:space="preserve"> which often leads to regular employment.</w:t>
      </w:r>
    </w:p>
    <w:p w14:paraId="316D4DB1" w14:textId="4AD4D4FD" w:rsidR="6E56C83F" w:rsidRDefault="6E56C83F" w:rsidP="0097062A">
      <w:pPr>
        <w:pStyle w:val="Heading4"/>
      </w:pPr>
      <w:r w:rsidRPr="6AD0082D">
        <w:rPr>
          <w:lang w:val="en-GB"/>
        </w:rPr>
        <w:t>A quality service</w:t>
      </w:r>
    </w:p>
    <w:p w14:paraId="152D99A7" w14:textId="77777777" w:rsidR="004316F3" w:rsidRDefault="6E56C83F" w:rsidP="0097062A">
      <w:pPr>
        <w:rPr>
          <w:lang w:val="en-GB"/>
        </w:rPr>
      </w:pPr>
      <w:r w:rsidRPr="50E3E469">
        <w:rPr>
          <w:lang w:val="en-GB"/>
        </w:rPr>
        <w:t xml:space="preserve">Bianca explained </w:t>
      </w:r>
      <w:proofErr w:type="spellStart"/>
      <w:r w:rsidRPr="50E3E469">
        <w:rPr>
          <w:lang w:val="en-GB"/>
        </w:rPr>
        <w:t>Hireup</w:t>
      </w:r>
      <w:proofErr w:type="spellEnd"/>
      <w:r w:rsidRPr="50E3E469">
        <w:rPr>
          <w:lang w:val="en-GB"/>
        </w:rPr>
        <w:t xml:space="preserve"> has been working in partnership with NDIS registered providers and My Aged Care registered providers since 2020.</w:t>
      </w:r>
      <w:r w:rsidR="00AD077F">
        <w:rPr>
          <w:lang w:val="en-GB"/>
        </w:rPr>
        <w:t xml:space="preserve"> </w:t>
      </w:r>
      <w:r w:rsidRPr="50E3E469">
        <w:rPr>
          <w:lang w:val="en-GB"/>
        </w:rPr>
        <w:t xml:space="preserve">As </w:t>
      </w:r>
      <w:proofErr w:type="gramStart"/>
      <w:r w:rsidRPr="50E3E469">
        <w:rPr>
          <w:lang w:val="en-GB"/>
        </w:rPr>
        <w:t>an</w:t>
      </w:r>
      <w:proofErr w:type="gramEnd"/>
      <w:r w:rsidRPr="50E3E469">
        <w:rPr>
          <w:lang w:val="en-GB"/>
        </w:rPr>
        <w:t xml:space="preserve"> NDIS-Registered Provider, </w:t>
      </w:r>
      <w:proofErr w:type="spellStart"/>
      <w:r w:rsidRPr="50E3E469">
        <w:rPr>
          <w:lang w:val="en-GB"/>
        </w:rPr>
        <w:t>Hireup</w:t>
      </w:r>
      <w:proofErr w:type="spellEnd"/>
      <w:r w:rsidRPr="50E3E469">
        <w:rPr>
          <w:lang w:val="en-GB"/>
        </w:rPr>
        <w:t xml:space="preserve"> has to satisfy the same compliance requirements as other registered providers.</w:t>
      </w:r>
    </w:p>
    <w:p w14:paraId="19716C66" w14:textId="48A24B3F" w:rsidR="6E56C83F" w:rsidRDefault="6E56C83F" w:rsidP="0097062A">
      <w:pPr>
        <w:pStyle w:val="Heading4"/>
      </w:pPr>
      <w:r w:rsidRPr="6AD0082D">
        <w:rPr>
          <w:lang w:val="en-GB"/>
        </w:rPr>
        <w:t>Two-way feedback loop</w:t>
      </w:r>
    </w:p>
    <w:p w14:paraId="5878EF37" w14:textId="399E5473" w:rsidR="6E56C83F" w:rsidRDefault="6E56C83F" w:rsidP="0097062A">
      <w:pPr>
        <w:rPr>
          <w:color w:val="000000" w:themeColor="text1"/>
        </w:rPr>
      </w:pPr>
      <w:r w:rsidRPr="644B5232">
        <w:rPr>
          <w:lang w:val="en-GB"/>
        </w:rPr>
        <w:t xml:space="preserve">We asked how </w:t>
      </w:r>
      <w:proofErr w:type="spellStart"/>
      <w:r w:rsidRPr="644B5232">
        <w:rPr>
          <w:lang w:val="en-GB"/>
        </w:rPr>
        <w:t>Hireup</w:t>
      </w:r>
      <w:proofErr w:type="spellEnd"/>
      <w:r w:rsidRPr="644B5232">
        <w:rPr>
          <w:lang w:val="en-GB"/>
        </w:rPr>
        <w:t xml:space="preserve"> maintains oversight of any given workforce partnership with a provider. </w:t>
      </w:r>
      <w:proofErr w:type="spellStart"/>
      <w:r w:rsidRPr="644B5232">
        <w:rPr>
          <w:lang w:val="en-GB"/>
        </w:rPr>
        <w:t>Hireup</w:t>
      </w:r>
      <w:proofErr w:type="spellEnd"/>
      <w:r w:rsidRPr="644B5232">
        <w:rPr>
          <w:lang w:val="en-GB"/>
        </w:rPr>
        <w:t xml:space="preserve"> works together with the providers using the service to maintain supervision.</w:t>
      </w:r>
    </w:p>
    <w:p w14:paraId="76CAB9A8" w14:textId="6254D40A" w:rsidR="6E56C83F" w:rsidRDefault="6E56C83F" w:rsidP="0097062A">
      <w:pPr>
        <w:rPr>
          <w:lang w:val="en-GB"/>
        </w:rPr>
      </w:pPr>
      <w:r w:rsidRPr="644B5232">
        <w:rPr>
          <w:lang w:val="en-GB"/>
        </w:rPr>
        <w:lastRenderedPageBreak/>
        <w:t xml:space="preserve">Bianca explained, </w:t>
      </w:r>
      <w:r w:rsidR="4C0C755B" w:rsidRPr="644B5232">
        <w:rPr>
          <w:lang w:val="en-GB"/>
        </w:rPr>
        <w:t>“</w:t>
      </w:r>
      <w:r w:rsidRPr="644B5232">
        <w:rPr>
          <w:lang w:val="en-GB"/>
        </w:rPr>
        <w:t xml:space="preserve">Workers are surveyed after their first and tenth </w:t>
      </w:r>
      <w:r w:rsidR="00AD077F" w:rsidRPr="644B5232">
        <w:rPr>
          <w:lang w:val="en-GB"/>
        </w:rPr>
        <w:t>shift. We</w:t>
      </w:r>
      <w:r w:rsidRPr="644B5232">
        <w:rPr>
          <w:lang w:val="en-GB"/>
        </w:rPr>
        <w:t xml:space="preserve"> ask them questions such as </w:t>
      </w:r>
      <w:r w:rsidR="25C716EE" w:rsidRPr="644B5232">
        <w:rPr>
          <w:lang w:val="en-GB"/>
        </w:rPr>
        <w:t>‘</w:t>
      </w:r>
      <w:r w:rsidRPr="644B5232">
        <w:rPr>
          <w:lang w:val="en-GB"/>
        </w:rPr>
        <w:t>Did you get access to support plans? Did the provider give you enough information so you could do your job safely?</w:t>
      </w:r>
      <w:r w:rsidR="1BC136BF" w:rsidRPr="644B5232">
        <w:rPr>
          <w:lang w:val="en-GB"/>
        </w:rPr>
        <w:t>’”</w:t>
      </w:r>
      <w:r w:rsidR="00746EA4">
        <w:rPr>
          <w:lang w:val="en-GB"/>
        </w:rPr>
        <w:t xml:space="preserve"> </w:t>
      </w:r>
      <w:r w:rsidRPr="644B5232">
        <w:rPr>
          <w:lang w:val="en-GB"/>
        </w:rPr>
        <w:t>Any concerns are raised with the service.</w:t>
      </w:r>
    </w:p>
    <w:p w14:paraId="027B77BF" w14:textId="77777777" w:rsidR="004316F3" w:rsidRDefault="6E56C83F" w:rsidP="0097062A">
      <w:pPr>
        <w:rPr>
          <w:lang w:val="en-GB"/>
        </w:rPr>
      </w:pPr>
      <w:r w:rsidRPr="50E3E469">
        <w:rPr>
          <w:lang w:val="en-GB"/>
        </w:rPr>
        <w:t xml:space="preserve">Similarly, </w:t>
      </w:r>
      <w:proofErr w:type="spellStart"/>
      <w:r w:rsidRPr="50E3E469">
        <w:rPr>
          <w:lang w:val="en-GB"/>
        </w:rPr>
        <w:t>Hireup</w:t>
      </w:r>
      <w:proofErr w:type="spellEnd"/>
      <w:r w:rsidRPr="50E3E469">
        <w:rPr>
          <w:lang w:val="en-GB"/>
        </w:rPr>
        <w:t xml:space="preserve"> checks in with providers about employee performance and compatibility. Direct feedback from a participant and the worker’s shift notes can also spark a discussion.</w:t>
      </w:r>
    </w:p>
    <w:p w14:paraId="0171634D" w14:textId="116C4ABA" w:rsidR="6E56C83F" w:rsidRDefault="6E56C83F" w:rsidP="0097062A">
      <w:pPr>
        <w:rPr>
          <w:color w:val="000000" w:themeColor="text1"/>
        </w:rPr>
      </w:pPr>
      <w:r w:rsidRPr="644B5232">
        <w:rPr>
          <w:lang w:val="en-GB"/>
        </w:rPr>
        <w:t>Bianca added, “Leaving room for a conversation builds a continuous feedback loop.”</w:t>
      </w:r>
    </w:p>
    <w:p w14:paraId="0008335E" w14:textId="77777777" w:rsidR="004316F3" w:rsidRDefault="6E56C83F" w:rsidP="0097062A">
      <w:pPr>
        <w:pStyle w:val="Heading4"/>
        <w:rPr>
          <w:lang w:val="en-GB"/>
        </w:rPr>
      </w:pPr>
      <w:r w:rsidRPr="50E3E469">
        <w:rPr>
          <w:lang w:val="en-GB"/>
        </w:rPr>
        <w:t>Summing up</w:t>
      </w:r>
    </w:p>
    <w:p w14:paraId="5284F0BA" w14:textId="77777777" w:rsidR="004316F3" w:rsidRDefault="6E56C83F" w:rsidP="0097062A">
      <w:pPr>
        <w:rPr>
          <w:color w:val="000000" w:themeColor="text1"/>
        </w:rPr>
      </w:pPr>
      <w:r w:rsidRPr="644B5232">
        <w:rPr>
          <w:lang w:val="en-GB"/>
        </w:rPr>
        <w:t xml:space="preserve">Building trust between clients and workers is crucial for delivering quality care. The key points of difference between </w:t>
      </w:r>
      <w:proofErr w:type="spellStart"/>
      <w:r w:rsidRPr="644B5232">
        <w:rPr>
          <w:lang w:val="en-GB"/>
        </w:rPr>
        <w:t>Hireup</w:t>
      </w:r>
      <w:proofErr w:type="spellEnd"/>
      <w:r w:rsidRPr="644B5232">
        <w:rPr>
          <w:lang w:val="en-GB"/>
        </w:rPr>
        <w:t xml:space="preserve"> and other labour platforms lie in </w:t>
      </w:r>
      <w:proofErr w:type="spellStart"/>
      <w:r w:rsidRPr="644B5232">
        <w:rPr>
          <w:lang w:val="en-GB"/>
        </w:rPr>
        <w:t>Hireup</w:t>
      </w:r>
      <w:proofErr w:type="spellEnd"/>
      <w:r w:rsidRPr="644B5232">
        <w:rPr>
          <w:lang w:val="en-GB"/>
        </w:rPr>
        <w:t xml:space="preserve"> being the direct employer, being NDIS-registered, and developing a lasting, trusting relationship with their clients.</w:t>
      </w:r>
    </w:p>
    <w:p w14:paraId="659112DF" w14:textId="0968544D" w:rsidR="004316F3" w:rsidRDefault="300FFCE9" w:rsidP="0097062A">
      <w:pPr>
        <w:pStyle w:val="Heading2"/>
      </w:pPr>
      <w:bookmarkStart w:id="120" w:name="_Toc180593636"/>
      <w:bookmarkStart w:id="121" w:name="_Toc181352009"/>
      <w:bookmarkStart w:id="122" w:name="_Toc184287173"/>
      <w:r w:rsidRPr="00395520">
        <w:lastRenderedPageBreak/>
        <w:t>Member story: looking after the team</w:t>
      </w:r>
      <w:bookmarkEnd w:id="120"/>
      <w:bookmarkEnd w:id="121"/>
      <w:bookmarkEnd w:id="122"/>
    </w:p>
    <w:p w14:paraId="75CA972F" w14:textId="00555B02" w:rsidR="53996134" w:rsidRDefault="53996134" w:rsidP="0097062A">
      <w:pPr>
        <w:pStyle w:val="Heading3"/>
        <w:rPr>
          <w:lang w:val="en-GB"/>
        </w:rPr>
      </w:pPr>
      <w:r w:rsidRPr="6AD0082D">
        <w:rPr>
          <w:lang w:val="en-GB"/>
        </w:rPr>
        <w:t>NOSS, Tasmania</w:t>
      </w:r>
    </w:p>
    <w:p w14:paraId="243933BC" w14:textId="77777777" w:rsidR="004316F3" w:rsidRDefault="53996134" w:rsidP="0097062A">
      <w:pPr>
        <w:rPr>
          <w:lang w:val="en-US"/>
        </w:rPr>
      </w:pPr>
      <w:r w:rsidRPr="644B5232">
        <w:rPr>
          <w:lang w:val="en-US"/>
        </w:rPr>
        <w:t xml:space="preserve">For over 32 </w:t>
      </w:r>
      <w:r w:rsidR="00545AFC">
        <w:rPr>
          <w:lang w:val="en-US"/>
        </w:rPr>
        <w:t>years,</w:t>
      </w:r>
      <w:r w:rsidRPr="644B5232">
        <w:rPr>
          <w:lang w:val="en-US"/>
        </w:rPr>
        <w:t xml:space="preserve"> NOSS Tasmania (NOSS) has been supporting people with disability in the greater Launceston community to participate in social and economic life. NOSS’s theory of change is that engagement and employment enrich quality of life for people with disability. Today, NOSS clients enjoy support at home, in the community, at </w:t>
      </w:r>
      <w:r w:rsidR="009B6846">
        <w:rPr>
          <w:lang w:val="en-US"/>
        </w:rPr>
        <w:t>t</w:t>
      </w:r>
      <w:r w:rsidRPr="644B5232">
        <w:rPr>
          <w:lang w:val="en-US"/>
        </w:rPr>
        <w:t xml:space="preserve">he Red Shed activity </w:t>
      </w:r>
      <w:proofErr w:type="spellStart"/>
      <w:r w:rsidRPr="644B5232">
        <w:rPr>
          <w:lang w:val="en-US"/>
        </w:rPr>
        <w:t>centre</w:t>
      </w:r>
      <w:proofErr w:type="spellEnd"/>
      <w:r w:rsidRPr="644B5232">
        <w:rPr>
          <w:lang w:val="en-US"/>
        </w:rPr>
        <w:t xml:space="preserve">, or working for </w:t>
      </w:r>
      <w:proofErr w:type="spellStart"/>
      <w:r w:rsidRPr="644B5232">
        <w:rPr>
          <w:lang w:val="en-US"/>
        </w:rPr>
        <w:t>Bluegum</w:t>
      </w:r>
      <w:proofErr w:type="spellEnd"/>
      <w:r w:rsidRPr="644B5232">
        <w:rPr>
          <w:lang w:val="en-US"/>
        </w:rPr>
        <w:t xml:space="preserve"> Grounds Maintenance, a social enterprise that provides broadacre grounds maintenance to five key corporate customers.</w:t>
      </w:r>
    </w:p>
    <w:p w14:paraId="42F8483D" w14:textId="77777777" w:rsidR="004316F3" w:rsidRDefault="300FFCE9" w:rsidP="0097062A">
      <w:pPr>
        <w:rPr>
          <w:lang w:val="en-US"/>
        </w:rPr>
      </w:pPr>
      <w:r w:rsidRPr="50E3E469">
        <w:rPr>
          <w:lang w:val="en-US"/>
        </w:rPr>
        <w:t>We spoke with CEO Ruth Chalk about initiatives that are being implemented at NOSS to build a stable, healthy, safe and engaged workforce.</w:t>
      </w:r>
    </w:p>
    <w:p w14:paraId="0E087B69" w14:textId="418268B9" w:rsidR="53996134" w:rsidRPr="00395520" w:rsidRDefault="53996134" w:rsidP="0097062A">
      <w:pPr>
        <w:pStyle w:val="Heading4"/>
      </w:pPr>
      <w:r w:rsidRPr="00395520">
        <w:t>Staff retention is key to continuity of support for clients</w:t>
      </w:r>
    </w:p>
    <w:p w14:paraId="50F612BD" w14:textId="77777777" w:rsidR="004316F3" w:rsidRDefault="53996134" w:rsidP="0097062A">
      <w:pPr>
        <w:rPr>
          <w:lang w:val="en-US"/>
        </w:rPr>
      </w:pPr>
      <w:r w:rsidRPr="644B5232">
        <w:rPr>
          <w:lang w:val="en-US"/>
        </w:rPr>
        <w:t xml:space="preserve">NOSS </w:t>
      </w:r>
      <w:proofErr w:type="spellStart"/>
      <w:r w:rsidRPr="644B5232">
        <w:rPr>
          <w:lang w:val="en-US"/>
        </w:rPr>
        <w:t>recognises</w:t>
      </w:r>
      <w:proofErr w:type="spellEnd"/>
      <w:r w:rsidRPr="644B5232">
        <w:rPr>
          <w:lang w:val="en-US"/>
        </w:rPr>
        <w:t xml:space="preserve"> that participants benefit from trusting, sustained, supportive relationships with support workers. Critical to clients’ success are happy, confident and engaged support workers. Concerned by the turnover of workers, Ruth and her leadership team looked closely at </w:t>
      </w:r>
      <w:proofErr w:type="gramStart"/>
      <w:r w:rsidRPr="644B5232">
        <w:rPr>
          <w:lang w:val="en-US"/>
        </w:rPr>
        <w:t>reasons</w:t>
      </w:r>
      <w:proofErr w:type="gramEnd"/>
      <w:r w:rsidRPr="644B5232">
        <w:rPr>
          <w:lang w:val="en-US"/>
        </w:rPr>
        <w:t xml:space="preserve"> staff may leave their role. Ruth researched ways to create a safe workplace and the factors that </w:t>
      </w:r>
      <w:r w:rsidR="00972655" w:rsidRPr="6AA04774">
        <w:rPr>
          <w:lang w:val="en-US"/>
        </w:rPr>
        <w:t>keep</w:t>
      </w:r>
      <w:r w:rsidR="00972655">
        <w:rPr>
          <w:lang w:val="en-US"/>
        </w:rPr>
        <w:t xml:space="preserve"> </w:t>
      </w:r>
      <w:r w:rsidRPr="644B5232">
        <w:rPr>
          <w:lang w:val="en-US"/>
        </w:rPr>
        <w:t xml:space="preserve">people </w:t>
      </w:r>
      <w:r w:rsidR="00972655" w:rsidRPr="6AA04774">
        <w:rPr>
          <w:lang w:val="en-US"/>
        </w:rPr>
        <w:t>at</w:t>
      </w:r>
      <w:r w:rsidRPr="644B5232">
        <w:rPr>
          <w:lang w:val="en-US"/>
        </w:rPr>
        <w:t xml:space="preserve"> an </w:t>
      </w:r>
      <w:proofErr w:type="spellStart"/>
      <w:r w:rsidRPr="644B5232">
        <w:rPr>
          <w:lang w:val="en-US"/>
        </w:rPr>
        <w:t>organisation</w:t>
      </w:r>
      <w:proofErr w:type="spellEnd"/>
      <w:r w:rsidRPr="644B5232">
        <w:rPr>
          <w:lang w:val="en-US"/>
        </w:rPr>
        <w:t>.</w:t>
      </w:r>
    </w:p>
    <w:p w14:paraId="41854DE1" w14:textId="77777777" w:rsidR="004316F3" w:rsidRDefault="53996134" w:rsidP="0097062A">
      <w:pPr>
        <w:pStyle w:val="Heading4"/>
      </w:pPr>
      <w:r w:rsidRPr="00395520">
        <w:t>Psychosocial safety</w:t>
      </w:r>
    </w:p>
    <w:p w14:paraId="23F23E4F" w14:textId="0B39BFF2" w:rsidR="53996134" w:rsidRDefault="3E7A60C8" w:rsidP="0097062A">
      <w:pPr>
        <w:rPr>
          <w:rFonts w:ascii="Aptos" w:eastAsia="Aptos" w:hAnsi="Aptos" w:cs="Aptos"/>
          <w:color w:val="000000" w:themeColor="text1"/>
          <w:lang w:val="en-GB"/>
        </w:rPr>
      </w:pPr>
      <w:r w:rsidRPr="50E3E469">
        <w:rPr>
          <w:lang w:val="en-US"/>
        </w:rPr>
        <w:t>NOSS’s concerns for its workforce coincided with the amendments of Safe Work Australia’s</w:t>
      </w:r>
      <w:r w:rsidR="20E77D08" w:rsidRPr="50E3E469">
        <w:rPr>
          <w:lang w:val="en-US"/>
        </w:rPr>
        <w:t xml:space="preserve"> </w:t>
      </w:r>
      <w:r w:rsidRPr="50E3E469">
        <w:rPr>
          <w:lang w:val="en-US"/>
        </w:rPr>
        <w:t>Work Health and Safety laws to include regulations on managing psychosocial hazards and risks at work. Research shows that wherever you have highly engaged staff, so common in our sector, there is an increased risk of burnout.</w:t>
      </w:r>
    </w:p>
    <w:p w14:paraId="6CA7DBF7" w14:textId="5A7589A4" w:rsidR="53996134" w:rsidRDefault="300FFCE9" w:rsidP="0097062A">
      <w:pPr>
        <w:rPr>
          <w:rFonts w:ascii="Aptos" w:eastAsia="Aptos" w:hAnsi="Aptos" w:cs="Aptos"/>
          <w:color w:val="000000" w:themeColor="text1"/>
          <w:lang w:val="en-GB"/>
        </w:rPr>
      </w:pPr>
      <w:r w:rsidRPr="50E3E469">
        <w:rPr>
          <w:lang w:val="en-US"/>
        </w:rPr>
        <w:t>The basis for psychosocial hazards is broad: from the demands of a job and lack of flexibility and autonomy, to workplace interactions and the physical environment of a workplace.</w:t>
      </w:r>
      <w:r w:rsidR="20E77D08" w:rsidRPr="50E3E469">
        <w:rPr>
          <w:lang w:val="en-US"/>
        </w:rPr>
        <w:t xml:space="preserve"> </w:t>
      </w:r>
      <w:r w:rsidRPr="50E3E469">
        <w:rPr>
          <w:lang w:val="en-US"/>
        </w:rPr>
        <w:t xml:space="preserve">NOSS participated in a national research project to measure and build workplace psychosocial safety and employee wellbeing. </w:t>
      </w:r>
      <w:r>
        <w:t>This research project was co-designed by the Employee Assistance Professional Association of Australasia and the University of South Australia.</w:t>
      </w:r>
    </w:p>
    <w:p w14:paraId="36ECB3D2" w14:textId="77777777" w:rsidR="004316F3" w:rsidRDefault="53996134" w:rsidP="0097062A">
      <w:pPr>
        <w:rPr>
          <w:rFonts w:ascii="Aptos" w:eastAsia="Aptos" w:hAnsi="Aptos" w:cs="Aptos"/>
          <w:color w:val="000000" w:themeColor="text1"/>
          <w:lang w:val="en-GB"/>
        </w:rPr>
      </w:pPr>
      <w:r w:rsidRPr="644B5232">
        <w:rPr>
          <w:lang w:val="en-US"/>
        </w:rPr>
        <w:lastRenderedPageBreak/>
        <w:t xml:space="preserve">NOSS wanted to provide a safe and supportive workplace by </w:t>
      </w:r>
      <w:proofErr w:type="spellStart"/>
      <w:r w:rsidRPr="644B5232">
        <w:rPr>
          <w:lang w:val="en-US"/>
        </w:rPr>
        <w:t>minimising</w:t>
      </w:r>
      <w:proofErr w:type="spellEnd"/>
      <w:r w:rsidRPr="644B5232">
        <w:rPr>
          <w:lang w:val="en-US"/>
        </w:rPr>
        <w:t xml:space="preserve"> the risk of psychosocial injury and enhancing employee wellbeing.</w:t>
      </w:r>
    </w:p>
    <w:p w14:paraId="44988689" w14:textId="61633B74" w:rsidR="53996134" w:rsidRDefault="53996134" w:rsidP="0097062A">
      <w:pPr>
        <w:pStyle w:val="Heading4"/>
        <w:rPr>
          <w:lang w:val="en-GB"/>
        </w:rPr>
      </w:pPr>
      <w:r w:rsidRPr="6AD0082D">
        <w:rPr>
          <w:lang w:val="en-US"/>
        </w:rPr>
        <w:t>A five-pronged approach</w:t>
      </w:r>
    </w:p>
    <w:p w14:paraId="6C340B98" w14:textId="24878921" w:rsidR="53996134" w:rsidRDefault="53996134" w:rsidP="0097062A">
      <w:pPr>
        <w:rPr>
          <w:rFonts w:ascii="Aptos" w:eastAsia="Aptos" w:hAnsi="Aptos" w:cs="Aptos"/>
          <w:color w:val="000000" w:themeColor="text1"/>
          <w:lang w:val="en-GB"/>
        </w:rPr>
      </w:pPr>
      <w:r w:rsidRPr="00E27983">
        <w:rPr>
          <w:rStyle w:val="Heading5Char"/>
        </w:rPr>
        <w:t>Culture</w:t>
      </w:r>
      <w:r w:rsidR="00E27983" w:rsidRPr="00E27983">
        <w:rPr>
          <w:rStyle w:val="Heading5Char"/>
        </w:rPr>
        <w:br/>
      </w:r>
      <w:proofErr w:type="spellStart"/>
      <w:r w:rsidRPr="644B5232">
        <w:rPr>
          <w:lang w:val="en-US"/>
        </w:rPr>
        <w:t>Recognising</w:t>
      </w:r>
      <w:proofErr w:type="spellEnd"/>
      <w:r w:rsidRPr="644B5232">
        <w:rPr>
          <w:lang w:val="en-US"/>
        </w:rPr>
        <w:t xml:space="preserve"> the power of a person-</w:t>
      </w:r>
      <w:proofErr w:type="spellStart"/>
      <w:r w:rsidRPr="644B5232">
        <w:rPr>
          <w:lang w:val="en-US"/>
        </w:rPr>
        <w:t>centred</w:t>
      </w:r>
      <w:proofErr w:type="spellEnd"/>
      <w:r w:rsidRPr="644B5232">
        <w:rPr>
          <w:lang w:val="en-US"/>
        </w:rPr>
        <w:t xml:space="preserve"> practice for clients, Ruth and her leadership team set out to ensure that the person-</w:t>
      </w:r>
      <w:proofErr w:type="spellStart"/>
      <w:r w:rsidRPr="644B5232">
        <w:rPr>
          <w:lang w:val="en-US"/>
        </w:rPr>
        <w:t>centred</w:t>
      </w:r>
      <w:proofErr w:type="spellEnd"/>
      <w:r w:rsidRPr="644B5232">
        <w:rPr>
          <w:lang w:val="en-US"/>
        </w:rPr>
        <w:t xml:space="preserve"> approach encompassed all people in the NOSS community and included looking after the wellbeing of team members.</w:t>
      </w:r>
    </w:p>
    <w:p w14:paraId="2FF145A6" w14:textId="77777777" w:rsidR="004316F3" w:rsidRDefault="53996134" w:rsidP="0097062A">
      <w:pPr>
        <w:rPr>
          <w:lang w:val="en-US"/>
        </w:rPr>
      </w:pPr>
      <w:r w:rsidRPr="644B5232">
        <w:rPr>
          <w:lang w:val="en-US"/>
        </w:rPr>
        <w:t xml:space="preserve">NOSS also created a contact officer role that gave staff a peer whom they could approach to share their concerns with and seek </w:t>
      </w:r>
      <w:proofErr w:type="gramStart"/>
      <w:r w:rsidRPr="644B5232">
        <w:rPr>
          <w:lang w:val="en-US"/>
        </w:rPr>
        <w:t>direction</w:t>
      </w:r>
      <w:proofErr w:type="gramEnd"/>
      <w:r w:rsidRPr="644B5232">
        <w:rPr>
          <w:lang w:val="en-US"/>
        </w:rPr>
        <w:t xml:space="preserve"> for assistance.</w:t>
      </w:r>
    </w:p>
    <w:p w14:paraId="0FB63632" w14:textId="77777777" w:rsidR="00E27983" w:rsidRDefault="53996134" w:rsidP="00E27983">
      <w:pPr>
        <w:pStyle w:val="Heading5"/>
        <w:rPr>
          <w:lang w:val="en-US"/>
        </w:rPr>
      </w:pPr>
      <w:r w:rsidRPr="644B5232">
        <w:rPr>
          <w:lang w:val="en-US"/>
        </w:rPr>
        <w:t>Feedback</w:t>
      </w:r>
    </w:p>
    <w:p w14:paraId="4D9D40BF" w14:textId="2F7AA91B" w:rsidR="53996134" w:rsidRDefault="00545AFC" w:rsidP="0097062A">
      <w:pPr>
        <w:rPr>
          <w:rFonts w:ascii="Aptos" w:eastAsia="Aptos" w:hAnsi="Aptos" w:cs="Aptos"/>
          <w:color w:val="000000" w:themeColor="text1"/>
          <w:lang w:val="en-GB"/>
        </w:rPr>
      </w:pPr>
      <w:r>
        <w:rPr>
          <w:lang w:val="en-US"/>
        </w:rPr>
        <w:t>NOSS invites staff</w:t>
      </w:r>
      <w:r w:rsidR="53996134" w:rsidRPr="644B5232">
        <w:rPr>
          <w:lang w:val="en-US"/>
        </w:rPr>
        <w:t xml:space="preserve"> to respond to pulse surveys about levels of satisfaction in both their personal and work lives. “People are being asked and given the opportunity to think about how they are.” While the responses are de-identified, any decline in the score prompts Ruth’s managers to remind staff that their employee assistance program provider is available for help and support.</w:t>
      </w:r>
    </w:p>
    <w:p w14:paraId="7D6F6258" w14:textId="68DBE44B" w:rsidR="53996134" w:rsidRDefault="300FFCE9" w:rsidP="0097062A">
      <w:pPr>
        <w:rPr>
          <w:rFonts w:ascii="Aptos" w:eastAsia="Aptos" w:hAnsi="Aptos" w:cs="Aptos"/>
          <w:color w:val="000000" w:themeColor="text1"/>
          <w:lang w:val="en-GB"/>
        </w:rPr>
      </w:pPr>
      <w:r w:rsidRPr="50E3E469">
        <w:rPr>
          <w:lang w:val="en-US"/>
        </w:rPr>
        <w:t xml:space="preserve">NOSS also sought feedback from support workers about their rosters. Some staff felt that they were close to burnout and that their needs were not being considered in the scheduling process. This </w:t>
      </w:r>
      <w:proofErr w:type="gramStart"/>
      <w:r w:rsidRPr="50E3E469">
        <w:rPr>
          <w:lang w:val="en-US"/>
        </w:rPr>
        <w:t>flowed</w:t>
      </w:r>
      <w:proofErr w:type="gramEnd"/>
      <w:r w:rsidRPr="50E3E469">
        <w:rPr>
          <w:lang w:val="en-US"/>
        </w:rPr>
        <w:t xml:space="preserve"> on to them not being able to provide their best supports to clients, or increased absences. NOSS adopted principles of “rostering for retention”, a worker-</w:t>
      </w:r>
      <w:proofErr w:type="spellStart"/>
      <w:r w:rsidRPr="50E3E469">
        <w:rPr>
          <w:lang w:val="en-US"/>
        </w:rPr>
        <w:t>centred</w:t>
      </w:r>
      <w:proofErr w:type="spellEnd"/>
      <w:r w:rsidRPr="50E3E469">
        <w:rPr>
          <w:lang w:val="en-US"/>
        </w:rPr>
        <w:t xml:space="preserve"> approach that included ensuring rosters were fair, managed fatigue and allowed for some flexibility. In practical terms, this included ensuring that workers had a variety of support requirements during the week, such as balancing out days where they are required to perform a lot of manual handling tasks with less physically demanding days.</w:t>
      </w:r>
      <w:r w:rsidR="20E77D08" w:rsidRPr="50E3E469">
        <w:rPr>
          <w:lang w:val="en-US"/>
        </w:rPr>
        <w:t xml:space="preserve"> </w:t>
      </w:r>
      <w:r w:rsidRPr="50E3E469">
        <w:rPr>
          <w:lang w:val="en-US"/>
        </w:rPr>
        <w:t>Managing both client and worker needs in rostering is a challenge, but one that brings many benefits for everyone.</w:t>
      </w:r>
    </w:p>
    <w:p w14:paraId="2EA04C6C" w14:textId="77777777" w:rsidR="00E27983" w:rsidRDefault="53996134" w:rsidP="00E27983">
      <w:pPr>
        <w:pStyle w:val="Heading5"/>
        <w:rPr>
          <w:lang w:val="en-US"/>
        </w:rPr>
      </w:pPr>
      <w:r w:rsidRPr="644B5232">
        <w:rPr>
          <w:lang w:val="en-US"/>
        </w:rPr>
        <w:t>Skills development</w:t>
      </w:r>
    </w:p>
    <w:p w14:paraId="4E21EB38" w14:textId="1DF72DAF" w:rsidR="53996134" w:rsidRDefault="53996134" w:rsidP="0097062A">
      <w:pPr>
        <w:rPr>
          <w:rFonts w:ascii="Aptos" w:eastAsia="Aptos" w:hAnsi="Aptos" w:cs="Aptos"/>
          <w:color w:val="000000" w:themeColor="text1"/>
          <w:lang w:val="en-GB"/>
        </w:rPr>
      </w:pPr>
      <w:r w:rsidRPr="644B5232">
        <w:rPr>
          <w:lang w:val="en-US"/>
        </w:rPr>
        <w:t xml:space="preserve">By aligning staff roles with the NDIS Workforce Capability Framework, NOSS mapped the skills needed for each role. Through traineeships and incentive payments, NOSS assisted staff to complete additional training, and ninety per cent of </w:t>
      </w:r>
      <w:r w:rsidRPr="644B5232">
        <w:rPr>
          <w:lang w:val="en-US"/>
        </w:rPr>
        <w:lastRenderedPageBreak/>
        <w:t>support workers now hold a formal qualification. This mapping also informs and shapes meaningful performance appraisals.</w:t>
      </w:r>
    </w:p>
    <w:p w14:paraId="60E43CAD" w14:textId="77777777" w:rsidR="00E27983" w:rsidRDefault="53996134" w:rsidP="00E27983">
      <w:pPr>
        <w:pStyle w:val="Heading5"/>
        <w:rPr>
          <w:lang w:val="en-US"/>
        </w:rPr>
      </w:pPr>
      <w:r w:rsidRPr="644B5232">
        <w:rPr>
          <w:lang w:val="en-US"/>
        </w:rPr>
        <w:t>Leadership</w:t>
      </w:r>
    </w:p>
    <w:p w14:paraId="52F30F65" w14:textId="67166316" w:rsidR="53996134" w:rsidRDefault="53996134" w:rsidP="0097062A">
      <w:pPr>
        <w:rPr>
          <w:rFonts w:ascii="Aptos" w:eastAsia="Aptos" w:hAnsi="Aptos" w:cs="Aptos"/>
          <w:color w:val="000000" w:themeColor="text1"/>
          <w:lang w:val="en-GB"/>
        </w:rPr>
      </w:pPr>
      <w:r w:rsidRPr="644B5232">
        <w:rPr>
          <w:lang w:val="en-US"/>
        </w:rPr>
        <w:t>Taking the lead from Professor Christine Bigby and Dr Lincoln Humphreys of La Trobe University and external providers, team leaders are developing skills in resilience, self-care and practice leadership. The aim is to ensure they are well equipped and supported in their roles. Team Leaders are at risk of psychosocial stress too and are expected to be readily available to coach and assist the support workers.</w:t>
      </w:r>
    </w:p>
    <w:p w14:paraId="004F176B" w14:textId="77777777" w:rsidR="00E27983" w:rsidRDefault="53996134" w:rsidP="00E27983">
      <w:pPr>
        <w:pStyle w:val="Heading5"/>
        <w:rPr>
          <w:lang w:val="en-US"/>
        </w:rPr>
      </w:pPr>
      <w:r w:rsidRPr="644B5232">
        <w:rPr>
          <w:lang w:val="en-US"/>
        </w:rPr>
        <w:t>Teamwork</w:t>
      </w:r>
    </w:p>
    <w:p w14:paraId="3F5455FF" w14:textId="2A6859F0" w:rsidR="6AD0082D" w:rsidRDefault="53996134" w:rsidP="0097062A">
      <w:pPr>
        <w:rPr>
          <w:rFonts w:ascii="Aptos" w:eastAsia="Aptos" w:hAnsi="Aptos" w:cs="Aptos"/>
          <w:color w:val="000000" w:themeColor="text1"/>
          <w:lang w:val="en-GB"/>
        </w:rPr>
      </w:pPr>
      <w:r w:rsidRPr="644B5232">
        <w:rPr>
          <w:lang w:val="en-US"/>
        </w:rPr>
        <w:t>With staff working out and about in the community supporting participants, there is little opportunity to bring them together. Ruth and her team have identified the value of creating opportunities for workers to come together, support each other and address the isolation they can feel. This is probably the biggest challenge, as team meetings and peer supervision are not funded under the NDIS.</w:t>
      </w:r>
    </w:p>
    <w:p w14:paraId="15A21A6B" w14:textId="45A46C2E" w:rsidR="53996134" w:rsidRDefault="53996134" w:rsidP="0097062A">
      <w:pPr>
        <w:pStyle w:val="Heading4"/>
        <w:rPr>
          <w:lang w:val="en-GB"/>
        </w:rPr>
      </w:pPr>
      <w:r w:rsidRPr="6AD0082D">
        <w:rPr>
          <w:lang w:val="en-US"/>
        </w:rPr>
        <w:t>Summing up</w:t>
      </w:r>
    </w:p>
    <w:p w14:paraId="5124D7B7" w14:textId="77777777" w:rsidR="004316F3" w:rsidRDefault="300FFCE9" w:rsidP="0097062A">
      <w:pPr>
        <w:rPr>
          <w:lang w:val="en-US"/>
        </w:rPr>
      </w:pPr>
      <w:r w:rsidRPr="50E3E469">
        <w:rPr>
          <w:lang w:val="en-US"/>
        </w:rPr>
        <w:t xml:space="preserve">Having identified the need to reduce staff </w:t>
      </w:r>
      <w:proofErr w:type="gramStart"/>
      <w:r w:rsidRPr="50E3E469">
        <w:rPr>
          <w:lang w:val="en-US"/>
        </w:rPr>
        <w:t>churn</w:t>
      </w:r>
      <w:proofErr w:type="gramEnd"/>
      <w:r w:rsidRPr="50E3E469">
        <w:rPr>
          <w:lang w:val="en-US"/>
        </w:rPr>
        <w:t xml:space="preserve">, NOSS looked inwards to its HR systems and processes. It also paid attention to Safe Work Australia’s regulations to manage psychological risks at a workplace. </w:t>
      </w:r>
      <w:proofErr w:type="spellStart"/>
      <w:r w:rsidRPr="50E3E469">
        <w:rPr>
          <w:lang w:val="en-US"/>
        </w:rPr>
        <w:t>Recognising</w:t>
      </w:r>
      <w:proofErr w:type="spellEnd"/>
      <w:r w:rsidRPr="50E3E469">
        <w:rPr>
          <w:lang w:val="en-US"/>
        </w:rPr>
        <w:t xml:space="preserve"> </w:t>
      </w:r>
      <w:proofErr w:type="gramStart"/>
      <w:r w:rsidRPr="50E3E469">
        <w:rPr>
          <w:lang w:val="en-US"/>
        </w:rPr>
        <w:t>a need</w:t>
      </w:r>
      <w:proofErr w:type="gramEnd"/>
      <w:r w:rsidRPr="50E3E469">
        <w:rPr>
          <w:lang w:val="en-US"/>
        </w:rPr>
        <w:t xml:space="preserve"> to look after its staff, the provider used initiative, partnering with </w:t>
      </w:r>
      <w:r w:rsidR="27325F27" w:rsidRPr="50E3E469">
        <w:rPr>
          <w:lang w:val="en-US"/>
        </w:rPr>
        <w:t xml:space="preserve">employee assistance provider </w:t>
      </w:r>
      <w:r w:rsidRPr="50E3E469">
        <w:rPr>
          <w:lang w:val="en-US"/>
        </w:rPr>
        <w:t>Positive Solutions, to develop a solution that involved building staff culture, seeking feedback from staff, and resourcing and supporting their staff and team leaders.</w:t>
      </w:r>
    </w:p>
    <w:p w14:paraId="4C14652F" w14:textId="77777777" w:rsidR="004316F3" w:rsidRDefault="53996134" w:rsidP="0097062A">
      <w:r w:rsidRPr="644B5232">
        <w:rPr>
          <w:lang w:val="en-US"/>
        </w:rPr>
        <w:t xml:space="preserve">Ruth said the results from the three Psychosocial Safety Climate surveys over 18 months </w:t>
      </w:r>
      <w:r w:rsidR="00545AFC">
        <w:rPr>
          <w:lang w:val="en-US"/>
        </w:rPr>
        <w:t>showed</w:t>
      </w:r>
      <w:r w:rsidRPr="644B5232">
        <w:rPr>
          <w:lang w:val="en-US"/>
        </w:rPr>
        <w:t xml:space="preserve"> that NOSS employees had lower risk levels than the Tasmanian benchmark and national sample. NOSS will remain vigilant and continue to take steps to reduce the risk of job strain and enhance staff health and wellbeing. </w:t>
      </w:r>
    </w:p>
    <w:p w14:paraId="277C37C3" w14:textId="77FD50DF" w:rsidR="1552CB52" w:rsidRDefault="1552CB52" w:rsidP="0097062A">
      <w:pPr>
        <w:pStyle w:val="Heading2"/>
      </w:pPr>
      <w:bookmarkStart w:id="123" w:name="_Toc180593638"/>
      <w:bookmarkStart w:id="124" w:name="_Toc181352011"/>
      <w:bookmarkStart w:id="125" w:name="_Toc184287174"/>
      <w:r w:rsidRPr="50E3E469">
        <w:lastRenderedPageBreak/>
        <w:t>Member story: supported employment</w:t>
      </w:r>
      <w:bookmarkEnd w:id="123"/>
      <w:bookmarkEnd w:id="124"/>
      <w:bookmarkEnd w:id="125"/>
    </w:p>
    <w:p w14:paraId="41B7805F" w14:textId="75D15E2D" w:rsidR="1552CB52" w:rsidRDefault="1552CB52" w:rsidP="0097062A">
      <w:pPr>
        <w:pStyle w:val="Heading3"/>
      </w:pPr>
      <w:r w:rsidRPr="6AD0082D">
        <w:t>HPA Incorporated, Darwin</w:t>
      </w:r>
    </w:p>
    <w:p w14:paraId="2426E744" w14:textId="28BFD6C7" w:rsidR="1552CB52" w:rsidRDefault="1552CB52" w:rsidP="0097062A">
      <w:pPr>
        <w:rPr>
          <w:rFonts w:ascii="Aptos" w:eastAsia="Aptos" w:hAnsi="Aptos" w:cs="Aptos"/>
          <w:color w:val="000000" w:themeColor="text1"/>
        </w:rPr>
      </w:pPr>
      <w:r w:rsidRPr="644B5232">
        <w:rPr>
          <w:lang w:val="en-US"/>
        </w:rPr>
        <w:t xml:space="preserve">NDIS participants can use their </w:t>
      </w:r>
      <w:proofErr w:type="gramStart"/>
      <w:r w:rsidRPr="644B5232">
        <w:rPr>
          <w:lang w:val="en-US"/>
        </w:rPr>
        <w:t>supports</w:t>
      </w:r>
      <w:proofErr w:type="gramEnd"/>
      <w:r w:rsidRPr="644B5232">
        <w:rPr>
          <w:lang w:val="en-US"/>
        </w:rPr>
        <w:t xml:space="preserve"> for employment in any workplace they choose, including mainstream employment, social enterprises, micro-businesses or supported employment services.</w:t>
      </w:r>
    </w:p>
    <w:p w14:paraId="46B4C237" w14:textId="77777777" w:rsidR="004316F3" w:rsidRDefault="1552CB52" w:rsidP="0097062A">
      <w:pPr>
        <w:rPr>
          <w:lang w:val="en-US"/>
        </w:rPr>
      </w:pPr>
      <w:r w:rsidRPr="644B5232">
        <w:rPr>
          <w:lang w:val="en-US"/>
        </w:rPr>
        <w:t>We spoke to Kerry Whiting of HPA Incorporated (known locally as Helping People Achieve), which has been offering a range of services, including supported employment, in and around Darwin for 60 years.</w:t>
      </w:r>
    </w:p>
    <w:p w14:paraId="4B571514" w14:textId="77777777" w:rsidR="004316F3" w:rsidRDefault="1552CB52" w:rsidP="0097062A">
      <w:pPr>
        <w:rPr>
          <w:lang w:val="en-US"/>
        </w:rPr>
      </w:pPr>
      <w:r w:rsidRPr="644B5232">
        <w:rPr>
          <w:lang w:val="en-US"/>
        </w:rPr>
        <w:t xml:space="preserve">Appointed around a year ago, and coming from a background in community services, Kerry brought fresh eyes and enthusiasm to the role of CEO. He clearly loves his </w:t>
      </w:r>
      <w:proofErr w:type="spellStart"/>
      <w:proofErr w:type="gramStart"/>
      <w:r w:rsidRPr="644B5232">
        <w:rPr>
          <w:lang w:val="en-US"/>
        </w:rPr>
        <w:t>organisation</w:t>
      </w:r>
      <w:proofErr w:type="spellEnd"/>
      <w:proofErr w:type="gramEnd"/>
      <w:r w:rsidRPr="644B5232">
        <w:rPr>
          <w:lang w:val="en-US"/>
        </w:rPr>
        <w:t xml:space="preserve"> and he spoke passionately about advancing the rights of HPA’s participants to contribute to the local economy while developing social and work-related skills.</w:t>
      </w:r>
    </w:p>
    <w:p w14:paraId="30BAB664" w14:textId="1F8BA574" w:rsidR="1552CB52" w:rsidRPr="00395520" w:rsidRDefault="1552CB52" w:rsidP="0097062A">
      <w:pPr>
        <w:pStyle w:val="Heading4"/>
      </w:pPr>
      <w:r w:rsidRPr="00395520">
        <w:t>HPA’s activities</w:t>
      </w:r>
    </w:p>
    <w:p w14:paraId="6E87BEE6" w14:textId="3873E284" w:rsidR="1552CB52" w:rsidRDefault="1552CB52" w:rsidP="0097062A">
      <w:pPr>
        <w:rPr>
          <w:rFonts w:ascii="Aptos" w:eastAsia="Aptos" w:hAnsi="Aptos" w:cs="Aptos"/>
          <w:color w:val="000000" w:themeColor="text1"/>
        </w:rPr>
      </w:pPr>
      <w:r w:rsidRPr="644B5232">
        <w:rPr>
          <w:lang w:val="en-US"/>
        </w:rPr>
        <w:t xml:space="preserve">People attending HPA can </w:t>
      </w:r>
      <w:r w:rsidR="00FC3C74">
        <w:rPr>
          <w:lang w:val="en-US"/>
        </w:rPr>
        <w:t>take part</w:t>
      </w:r>
      <w:r w:rsidR="05A5C3D1" w:rsidRPr="226C3548">
        <w:rPr>
          <w:lang w:val="en-US"/>
        </w:rPr>
        <w:t xml:space="preserve"> in any of the</w:t>
      </w:r>
      <w:r w:rsidRPr="644B5232">
        <w:rPr>
          <w:lang w:val="en-US"/>
        </w:rPr>
        <w:t xml:space="preserve"> six supported employment opportunities, from working with textiles to general assembly to a mailout service which </w:t>
      </w:r>
      <w:r w:rsidR="00AD077F" w:rsidRPr="644B5232">
        <w:rPr>
          <w:lang w:val="en-US"/>
        </w:rPr>
        <w:t>helped</w:t>
      </w:r>
      <w:r w:rsidRPr="644B5232">
        <w:rPr>
          <w:lang w:val="en-US"/>
        </w:rPr>
        <w:t xml:space="preserve"> with the distribution of material in the </w:t>
      </w:r>
      <w:r w:rsidR="00FC3C74">
        <w:rPr>
          <w:lang w:val="en-US"/>
        </w:rPr>
        <w:t>lead-up</w:t>
      </w:r>
      <w:r w:rsidRPr="644B5232">
        <w:rPr>
          <w:lang w:val="en-US"/>
        </w:rPr>
        <w:t xml:space="preserve"> to the </w:t>
      </w:r>
      <w:r w:rsidR="7B673BEB" w:rsidRPr="226C3548">
        <w:rPr>
          <w:lang w:val="en-US"/>
        </w:rPr>
        <w:t>latest</w:t>
      </w:r>
      <w:r w:rsidRPr="644B5232">
        <w:rPr>
          <w:lang w:val="en-US"/>
        </w:rPr>
        <w:t xml:space="preserve"> NT election.</w:t>
      </w:r>
    </w:p>
    <w:p w14:paraId="2CB8D953" w14:textId="56CAA91E" w:rsidR="1552CB52" w:rsidRDefault="1552CB52" w:rsidP="0097062A">
      <w:pPr>
        <w:rPr>
          <w:rFonts w:ascii="Aptos" w:eastAsia="Aptos" w:hAnsi="Aptos" w:cs="Aptos"/>
          <w:color w:val="000000" w:themeColor="text1"/>
        </w:rPr>
      </w:pPr>
      <w:r w:rsidRPr="644B5232">
        <w:rPr>
          <w:lang w:val="en-US"/>
        </w:rPr>
        <w:t>Offering a flexible service, there are no set hours and people can work a few hours a week up to full time. Kerry said some participants typically prefer to work outdoors and gravitate towards Breaking Ground, a garden maintenance service, or the Kokoda metal working and woodworking workshop which builds strong, durable tables for the commercial and government sector such as local schools.</w:t>
      </w:r>
    </w:p>
    <w:p w14:paraId="56C73F3B" w14:textId="3E1914A6" w:rsidR="1552CB52" w:rsidRPr="00395520" w:rsidRDefault="1552CB52" w:rsidP="0097062A">
      <w:pPr>
        <w:pStyle w:val="Heading4"/>
      </w:pPr>
      <w:r w:rsidRPr="00395520">
        <w:t>The current operating environment</w:t>
      </w:r>
    </w:p>
    <w:p w14:paraId="35354D43" w14:textId="096E6A27" w:rsidR="1552CB52" w:rsidRDefault="1552CB52" w:rsidP="0097062A">
      <w:pPr>
        <w:rPr>
          <w:rFonts w:ascii="Aptos" w:eastAsia="Aptos" w:hAnsi="Aptos" w:cs="Aptos"/>
          <w:color w:val="000000" w:themeColor="text1"/>
        </w:rPr>
      </w:pPr>
      <w:r w:rsidRPr="644B5232">
        <w:rPr>
          <w:lang w:val="en-US"/>
        </w:rPr>
        <w:t xml:space="preserve">A key theme of our discussion concerned operating in an environment of uncertainty and lack of clarity that comes with constant reform. Kerry said, “Change is definitely necessary in the industry from the evidence provided in the Royal Commission and NDIS review”, but Kerry’s team is wary, remarking that they’ve been dealing with impending change for around 30 years. Kerry is more sanguine, sensing the </w:t>
      </w:r>
      <w:r w:rsidRPr="644B5232">
        <w:rPr>
          <w:lang w:val="en-US"/>
        </w:rPr>
        <w:lastRenderedPageBreak/>
        <w:t>government sees employment of people with disability as a worthy proposition to get right.</w:t>
      </w:r>
    </w:p>
    <w:p w14:paraId="660339D3" w14:textId="77777777" w:rsidR="004316F3" w:rsidRDefault="1552CB52" w:rsidP="0097062A">
      <w:r w:rsidRPr="644B5232">
        <w:rPr>
          <w:lang w:val="en-US"/>
        </w:rPr>
        <w:t xml:space="preserve">He suspects HPA may increasingly become a conduit to open employment for some participants across the full spectrum of HPA’s employment opportunities. </w:t>
      </w:r>
      <w:r>
        <w:t>But he acknowledges there will always be a place for supported employment and some of HPA’s participants and their families who have been with the organisation for over 40 years want things to stay the same. They are fearful of a push into an arrangement they are not comfortable with.</w:t>
      </w:r>
    </w:p>
    <w:p w14:paraId="68A6F235" w14:textId="66D0741C" w:rsidR="1552CB52" w:rsidRPr="00395520" w:rsidRDefault="1552CB52" w:rsidP="0068282F">
      <w:pPr>
        <w:pStyle w:val="Heading4"/>
      </w:pPr>
      <w:r w:rsidRPr="00395520">
        <w:t>“We have years of adapting ahead</w:t>
      </w:r>
      <w:r w:rsidR="00FC3C74" w:rsidRPr="00395520">
        <w:t>.</w:t>
      </w:r>
      <w:r w:rsidRPr="00395520">
        <w:t>”</w:t>
      </w:r>
    </w:p>
    <w:p w14:paraId="4A2CEF2A" w14:textId="52407677" w:rsidR="1552CB52" w:rsidRDefault="1552CB52" w:rsidP="0097062A">
      <w:pPr>
        <w:rPr>
          <w:rFonts w:ascii="Aptos" w:eastAsia="Aptos" w:hAnsi="Aptos" w:cs="Aptos"/>
          <w:color w:val="000000" w:themeColor="text1"/>
        </w:rPr>
      </w:pPr>
      <w:r w:rsidRPr="644B5232">
        <w:rPr>
          <w:lang w:val="en-US"/>
        </w:rPr>
        <w:t xml:space="preserve">Kerry maintains that stability is important for service providers and their </w:t>
      </w:r>
      <w:r w:rsidR="00FC3C74">
        <w:rPr>
          <w:lang w:val="en-US"/>
        </w:rPr>
        <w:t>clients,</w:t>
      </w:r>
      <w:r w:rsidRPr="644B5232">
        <w:rPr>
          <w:lang w:val="en-US"/>
        </w:rPr>
        <w:t xml:space="preserve"> “but to have stability</w:t>
      </w:r>
      <w:r w:rsidR="00675B59">
        <w:rPr>
          <w:lang w:val="en-US"/>
        </w:rPr>
        <w:t>,</w:t>
      </w:r>
      <w:r w:rsidRPr="644B5232">
        <w:rPr>
          <w:lang w:val="en-US"/>
        </w:rPr>
        <w:t xml:space="preserve"> it is necessary to have clarity. With the absence of clarity due to the many recommendations and possible options being discussed and explored, it may well be an environment of instability that is more the norm for coming years.” </w:t>
      </w:r>
      <w:r w:rsidR="00AD077F" w:rsidRPr="644B5232">
        <w:rPr>
          <w:lang w:val="en-US"/>
        </w:rPr>
        <w:t>So,</w:t>
      </w:r>
      <w:r w:rsidRPr="644B5232">
        <w:rPr>
          <w:lang w:val="en-US"/>
        </w:rPr>
        <w:t xml:space="preserve"> adaptability will be a key requisite for industry service providers.</w:t>
      </w:r>
    </w:p>
    <w:p w14:paraId="6347666E" w14:textId="602A921A" w:rsidR="1552CB52" w:rsidRPr="00395520" w:rsidRDefault="1552CB52" w:rsidP="0097062A">
      <w:pPr>
        <w:pStyle w:val="Heading4"/>
      </w:pPr>
      <w:r w:rsidRPr="00395520">
        <w:t>The risk of role creep</w:t>
      </w:r>
    </w:p>
    <w:p w14:paraId="180CA5E9" w14:textId="77777777" w:rsidR="004316F3" w:rsidRDefault="1552CB52" w:rsidP="0097062A">
      <w:pPr>
        <w:rPr>
          <w:lang w:val="en-US"/>
        </w:rPr>
      </w:pPr>
      <w:r w:rsidRPr="50E3E469">
        <w:rPr>
          <w:lang w:val="en-US"/>
        </w:rPr>
        <w:t xml:space="preserve">Included in the challenges HPA faces is the potential for </w:t>
      </w:r>
      <w:proofErr w:type="gramStart"/>
      <w:r w:rsidRPr="50E3E469">
        <w:rPr>
          <w:lang w:val="en-US"/>
        </w:rPr>
        <w:t>blurring of</w:t>
      </w:r>
      <w:proofErr w:type="gramEnd"/>
      <w:r w:rsidRPr="50E3E469">
        <w:rPr>
          <w:lang w:val="en-US"/>
        </w:rPr>
        <w:t xml:space="preserve"> roles. When</w:t>
      </w:r>
      <w:r w:rsidR="6600DE10" w:rsidRPr="50E3E469">
        <w:rPr>
          <w:lang w:val="en-US"/>
        </w:rPr>
        <w:t xml:space="preserve"> people with </w:t>
      </w:r>
      <w:proofErr w:type="gramStart"/>
      <w:r w:rsidR="6600DE10" w:rsidRPr="50E3E469">
        <w:rPr>
          <w:lang w:val="en-US"/>
        </w:rPr>
        <w:t>disability</w:t>
      </w:r>
      <w:proofErr w:type="gramEnd"/>
      <w:r w:rsidR="6600DE10" w:rsidRPr="50E3E469">
        <w:rPr>
          <w:lang w:val="en-US"/>
        </w:rPr>
        <w:t xml:space="preserve"> and their</w:t>
      </w:r>
      <w:r w:rsidR="3EFBFFF7" w:rsidRPr="50E3E469">
        <w:rPr>
          <w:lang w:val="en-US"/>
        </w:rPr>
        <w:t xml:space="preserve"> </w:t>
      </w:r>
      <w:r w:rsidRPr="50E3E469">
        <w:rPr>
          <w:lang w:val="en-US"/>
        </w:rPr>
        <w:t>families bring their supported employment needs to the table</w:t>
      </w:r>
      <w:r w:rsidR="00675B59">
        <w:rPr>
          <w:lang w:val="en-US"/>
        </w:rPr>
        <w:t>,</w:t>
      </w:r>
      <w:r w:rsidRPr="50E3E469">
        <w:rPr>
          <w:lang w:val="en-US"/>
        </w:rPr>
        <w:t xml:space="preserve"> the conversation naturally turns to scanning what other (non-employment) supports are out there in the community.</w:t>
      </w:r>
    </w:p>
    <w:p w14:paraId="1869201E" w14:textId="24CE43D2" w:rsidR="1552CB52" w:rsidRDefault="1552CB52" w:rsidP="0097062A">
      <w:pPr>
        <w:rPr>
          <w:rFonts w:ascii="Aptos" w:eastAsia="Aptos" w:hAnsi="Aptos" w:cs="Aptos"/>
          <w:color w:val="000000" w:themeColor="text1"/>
        </w:rPr>
      </w:pPr>
      <w:r w:rsidRPr="50E3E469">
        <w:rPr>
          <w:lang w:val="en-US"/>
        </w:rPr>
        <w:t xml:space="preserve">Kerry’s </w:t>
      </w:r>
      <w:proofErr w:type="spellStart"/>
      <w:r w:rsidRPr="50E3E469">
        <w:rPr>
          <w:lang w:val="en-US"/>
        </w:rPr>
        <w:t>organisation</w:t>
      </w:r>
      <w:proofErr w:type="spellEnd"/>
      <w:r w:rsidRPr="50E3E469">
        <w:rPr>
          <w:lang w:val="en-US"/>
        </w:rPr>
        <w:t xml:space="preserve"> can signpost to other supports but knows that support coordination is meant to be an intermediary service, independent of service provision. They look forwards to some direction coming out of the Disability Royal Commission recommendations.</w:t>
      </w:r>
    </w:p>
    <w:p w14:paraId="5A3FF9D6" w14:textId="56E0AFB7" w:rsidR="1552CB52" w:rsidRPr="00395520" w:rsidRDefault="1552CB52" w:rsidP="0097062A">
      <w:pPr>
        <w:pStyle w:val="Heading4"/>
      </w:pPr>
      <w:r w:rsidRPr="00395520">
        <w:t xml:space="preserve">A skilled and </w:t>
      </w:r>
      <w:proofErr w:type="gramStart"/>
      <w:r w:rsidRPr="00395520">
        <w:t>fairly paid</w:t>
      </w:r>
      <w:proofErr w:type="gramEnd"/>
      <w:r w:rsidRPr="00395520">
        <w:t xml:space="preserve"> workforce</w:t>
      </w:r>
    </w:p>
    <w:p w14:paraId="5F6DEB7C" w14:textId="77777777" w:rsidR="004316F3" w:rsidRDefault="1552CB52" w:rsidP="0097062A">
      <w:pPr>
        <w:rPr>
          <w:lang w:val="en-US"/>
        </w:rPr>
      </w:pPr>
      <w:r w:rsidRPr="644B5232">
        <w:rPr>
          <w:lang w:val="en-US"/>
        </w:rPr>
        <w:t xml:space="preserve">Kerry and his General Manager of Operations have applied for grant funding to explore ways participants can gain formal recognition for the skills they learn on the job to support </w:t>
      </w:r>
      <w:proofErr w:type="gramStart"/>
      <w:r w:rsidRPr="644B5232">
        <w:rPr>
          <w:lang w:val="en-US"/>
        </w:rPr>
        <w:t>transition</w:t>
      </w:r>
      <w:proofErr w:type="gramEnd"/>
      <w:r w:rsidRPr="644B5232">
        <w:rPr>
          <w:lang w:val="en-US"/>
        </w:rPr>
        <w:t xml:space="preserve"> to open employment. This will help HPA </w:t>
      </w:r>
      <w:r w:rsidR="397AD9C4" w:rsidRPr="226C3548">
        <w:rPr>
          <w:lang w:val="en-US"/>
        </w:rPr>
        <w:t>advise</w:t>
      </w:r>
      <w:r w:rsidRPr="644B5232">
        <w:rPr>
          <w:lang w:val="en-US"/>
        </w:rPr>
        <w:t xml:space="preserve"> employers </w:t>
      </w:r>
      <w:r w:rsidR="442DD098" w:rsidRPr="226C3548">
        <w:rPr>
          <w:lang w:val="en-US"/>
        </w:rPr>
        <w:t>through</w:t>
      </w:r>
      <w:r w:rsidRPr="644B5232">
        <w:rPr>
          <w:lang w:val="en-US"/>
        </w:rPr>
        <w:t xml:space="preserve"> myth busting, removing barriers and innovation in the disability employment space.</w:t>
      </w:r>
    </w:p>
    <w:p w14:paraId="0A527CC7" w14:textId="77777777" w:rsidR="004316F3" w:rsidRDefault="1552CB52" w:rsidP="0097062A">
      <w:pPr>
        <w:rPr>
          <w:lang w:val="en-US"/>
        </w:rPr>
      </w:pPr>
      <w:r w:rsidRPr="644B5232">
        <w:rPr>
          <w:lang w:val="en-US"/>
        </w:rPr>
        <w:t xml:space="preserve">Kerry spoke about the inequity of remuneration for his team compared with the recent double digit pay rises for workers in health, aged care and childcare. He also </w:t>
      </w:r>
      <w:r w:rsidRPr="644B5232">
        <w:rPr>
          <w:lang w:val="en-US"/>
        </w:rPr>
        <w:lastRenderedPageBreak/>
        <w:t>would love to see participants enjoying a minimum wage, agreeing that this is going to be a tricky achievement for the funders.</w:t>
      </w:r>
    </w:p>
    <w:p w14:paraId="0B287BE3" w14:textId="16EFD887" w:rsidR="1552CB52" w:rsidRPr="00395520" w:rsidRDefault="1552CB52" w:rsidP="0097062A">
      <w:pPr>
        <w:pStyle w:val="Heading4"/>
      </w:pPr>
      <w:r w:rsidRPr="00395520">
        <w:t>Pulling out all stops</w:t>
      </w:r>
    </w:p>
    <w:p w14:paraId="4C2315D3" w14:textId="77777777" w:rsidR="004316F3" w:rsidRDefault="1552CB52" w:rsidP="0097062A">
      <w:pPr>
        <w:rPr>
          <w:lang w:val="en-US"/>
        </w:rPr>
      </w:pPr>
      <w:r w:rsidRPr="644B5232">
        <w:rPr>
          <w:lang w:val="en-US"/>
        </w:rPr>
        <w:t xml:space="preserve">We asked Kerry what it is like operating supported employment services for people with disability in Darwin. He told us one of the best things about the Northern Territory </w:t>
      </w:r>
      <w:proofErr w:type="gramStart"/>
      <w:r w:rsidRPr="644B5232">
        <w:rPr>
          <w:lang w:val="en-US"/>
        </w:rPr>
        <w:t>is</w:t>
      </w:r>
      <w:proofErr w:type="gramEnd"/>
      <w:r w:rsidRPr="644B5232">
        <w:rPr>
          <w:lang w:val="en-US"/>
        </w:rPr>
        <w:t xml:space="preserve"> everyone knows everyone.</w:t>
      </w:r>
    </w:p>
    <w:p w14:paraId="0C63957B" w14:textId="19898795" w:rsidR="1552CB52" w:rsidRDefault="00675B59" w:rsidP="0097062A">
      <w:pPr>
        <w:rPr>
          <w:rFonts w:ascii="Aptos" w:eastAsia="Aptos" w:hAnsi="Aptos" w:cs="Aptos"/>
          <w:color w:val="000000" w:themeColor="text1"/>
          <w:sz w:val="22"/>
          <w:szCs w:val="22"/>
        </w:rPr>
      </w:pPr>
      <w:r w:rsidRPr="537C6E22">
        <w:rPr>
          <w:lang w:val="en-US"/>
        </w:rPr>
        <w:t>“</w:t>
      </w:r>
      <w:r w:rsidR="1552CB52" w:rsidRPr="537C6E22">
        <w:rPr>
          <w:lang w:val="en-US"/>
        </w:rPr>
        <w:t xml:space="preserve">Collaboration is </w:t>
      </w:r>
      <w:r w:rsidR="00FC3C74">
        <w:rPr>
          <w:lang w:val="en-US"/>
        </w:rPr>
        <w:t>one thing that</w:t>
      </w:r>
      <w:r w:rsidR="1552CB52" w:rsidRPr="537C6E22">
        <w:rPr>
          <w:lang w:val="en-US"/>
        </w:rPr>
        <w:t xml:space="preserve"> </w:t>
      </w:r>
      <w:proofErr w:type="spellStart"/>
      <w:r w:rsidR="1552CB52" w:rsidRPr="537C6E22">
        <w:rPr>
          <w:lang w:val="en-US"/>
        </w:rPr>
        <w:t>Territorians</w:t>
      </w:r>
      <w:proofErr w:type="spellEnd"/>
      <w:r w:rsidR="1552CB52" w:rsidRPr="537C6E22">
        <w:rPr>
          <w:lang w:val="en-US"/>
        </w:rPr>
        <w:t xml:space="preserve"> do well</w:t>
      </w:r>
      <w:r w:rsidR="004E0683" w:rsidRPr="537C6E22">
        <w:rPr>
          <w:lang w:val="en-US"/>
        </w:rPr>
        <w:t>,” he said</w:t>
      </w:r>
      <w:r w:rsidR="1552CB52" w:rsidRPr="537C6E22">
        <w:rPr>
          <w:lang w:val="en-US"/>
        </w:rPr>
        <w:t xml:space="preserve">. </w:t>
      </w:r>
      <w:r w:rsidR="004E0683" w:rsidRPr="537C6E22">
        <w:rPr>
          <w:lang w:val="en-US"/>
        </w:rPr>
        <w:t>“</w:t>
      </w:r>
      <w:r w:rsidR="1552CB52" w:rsidRPr="537C6E22">
        <w:rPr>
          <w:lang w:val="en-US"/>
        </w:rPr>
        <w:t xml:space="preserve">Given we struggle with enough resources, both in terms of people and money, we collaborate regularly on projects. </w:t>
      </w:r>
      <w:r w:rsidR="6BE131A4" w:rsidRPr="226C3548">
        <w:rPr>
          <w:lang w:val="en-US"/>
        </w:rPr>
        <w:t xml:space="preserve">For example, </w:t>
      </w:r>
      <w:r w:rsidR="1552CB52" w:rsidRPr="226C3548">
        <w:rPr>
          <w:lang w:val="en-US"/>
        </w:rPr>
        <w:t>HPA has</w:t>
      </w:r>
      <w:r w:rsidR="1552CB52" w:rsidRPr="537C6E22">
        <w:rPr>
          <w:lang w:val="en-US"/>
        </w:rPr>
        <w:t xml:space="preserve"> formed a partnership with the Steps Group and Life Without Barriers to build a community garden for Palmerston residents. We couldn’t do this as individual </w:t>
      </w:r>
      <w:proofErr w:type="spellStart"/>
      <w:r w:rsidR="1552CB52" w:rsidRPr="537C6E22">
        <w:rPr>
          <w:lang w:val="en-US"/>
        </w:rPr>
        <w:t>organisations</w:t>
      </w:r>
      <w:proofErr w:type="spellEnd"/>
      <w:r w:rsidR="1552CB52" w:rsidRPr="537C6E22">
        <w:rPr>
          <w:lang w:val="en-US"/>
        </w:rPr>
        <w:t>, but together we have built a strong partnership providing fantastic community outcomes.</w:t>
      </w:r>
      <w:r w:rsidR="004E0683" w:rsidRPr="537C6E22">
        <w:rPr>
          <w:lang w:val="en-US"/>
        </w:rPr>
        <w:t>”</w:t>
      </w:r>
    </w:p>
    <w:p w14:paraId="08A17EDD" w14:textId="1D953878" w:rsidR="1552CB52" w:rsidRPr="00395520" w:rsidRDefault="1552CB52" w:rsidP="0097062A">
      <w:pPr>
        <w:pStyle w:val="Heading4"/>
      </w:pPr>
      <w:r w:rsidRPr="00395520">
        <w:t>Limited options for rural participants</w:t>
      </w:r>
    </w:p>
    <w:p w14:paraId="709360DE" w14:textId="77777777" w:rsidR="004316F3" w:rsidRDefault="1552CB52" w:rsidP="0097062A">
      <w:pPr>
        <w:rPr>
          <w:lang w:val="en-US"/>
        </w:rPr>
      </w:pPr>
      <w:r w:rsidRPr="537C6E22">
        <w:rPr>
          <w:lang w:val="en-US"/>
        </w:rPr>
        <w:t xml:space="preserve">In the NT, services for people with </w:t>
      </w:r>
      <w:proofErr w:type="gramStart"/>
      <w:r w:rsidRPr="537C6E22">
        <w:rPr>
          <w:lang w:val="en-US"/>
        </w:rPr>
        <w:t>disability</w:t>
      </w:r>
      <w:proofErr w:type="gramEnd"/>
      <w:r w:rsidRPr="537C6E22">
        <w:rPr>
          <w:lang w:val="en-US"/>
        </w:rPr>
        <w:t xml:space="preserve"> tend to cluster around Darwin and Alice Springs. Kerry spoke about the disruption for rural and remote families who come to the city because they have a family member with disability needing support, or perhaps because they are seeking work. They may come for a few weeks and end up staying for years. He referred to one employee from Arnhem Land who is </w:t>
      </w:r>
      <w:r w:rsidR="59E6A8C4" w:rsidRPr="537C6E22">
        <w:rPr>
          <w:lang w:val="en-US"/>
        </w:rPr>
        <w:t xml:space="preserve">yearning to </w:t>
      </w:r>
      <w:r w:rsidRPr="537C6E22">
        <w:rPr>
          <w:lang w:val="en-US"/>
        </w:rPr>
        <w:t xml:space="preserve">return to his </w:t>
      </w:r>
      <w:r w:rsidR="6C77358B" w:rsidRPr="226C3548">
        <w:rPr>
          <w:lang w:val="en-US"/>
        </w:rPr>
        <w:t>C</w:t>
      </w:r>
      <w:r w:rsidRPr="226C3548">
        <w:rPr>
          <w:lang w:val="en-US"/>
        </w:rPr>
        <w:t>ountry</w:t>
      </w:r>
      <w:r w:rsidRPr="537C6E22">
        <w:rPr>
          <w:lang w:val="en-US"/>
        </w:rPr>
        <w:t>. This sense of dislocation from community was also a theme in conversations we had with other providers.</w:t>
      </w:r>
    </w:p>
    <w:p w14:paraId="1687833C" w14:textId="7909306B" w:rsidR="1552CB52" w:rsidRPr="00395520" w:rsidRDefault="1552CB52" w:rsidP="0097062A">
      <w:pPr>
        <w:pStyle w:val="Heading4"/>
      </w:pPr>
      <w:r w:rsidRPr="00395520">
        <w:t>How membership with National Disability Services helps us</w:t>
      </w:r>
    </w:p>
    <w:p w14:paraId="6E606BCC" w14:textId="77777777" w:rsidR="004316F3" w:rsidRDefault="1552CB52" w:rsidP="0097062A">
      <w:r w:rsidRPr="644B5232">
        <w:rPr>
          <w:lang w:val="en-US"/>
        </w:rPr>
        <w:t xml:space="preserve">HPA has attended </w:t>
      </w:r>
      <w:r w:rsidR="00FC3C74">
        <w:rPr>
          <w:lang w:val="en-US"/>
        </w:rPr>
        <w:t>all the</w:t>
      </w:r>
      <w:r w:rsidRPr="644B5232">
        <w:rPr>
          <w:lang w:val="en-US"/>
        </w:rPr>
        <w:t xml:space="preserve"> information sessions on supported employment and the supported wage system. NDS’s Good Practice Guide has underpinned HPA’s assessment and risk mitigation process in readiness for Job Access assessors</w:t>
      </w:r>
      <w:r w:rsidR="007A5955">
        <w:rPr>
          <w:lang w:val="en-US"/>
        </w:rPr>
        <w:t>.</w:t>
      </w:r>
    </w:p>
    <w:p w14:paraId="0747E920" w14:textId="0B950152" w:rsidR="00722D99" w:rsidRPr="00734DD3" w:rsidRDefault="00722D99" w:rsidP="0097062A">
      <w:pPr>
        <w:pStyle w:val="Heading2"/>
      </w:pPr>
      <w:bookmarkStart w:id="126" w:name="_Toc180593637"/>
      <w:bookmarkStart w:id="127" w:name="_Toc181352010"/>
      <w:bookmarkStart w:id="128" w:name="_Toc184287175"/>
      <w:bookmarkStart w:id="129" w:name="_Toc181352012"/>
      <w:r w:rsidRPr="00734DD3">
        <w:lastRenderedPageBreak/>
        <w:t>The state of disability employment</w:t>
      </w:r>
      <w:bookmarkEnd w:id="126"/>
      <w:bookmarkEnd w:id="127"/>
      <w:bookmarkEnd w:id="128"/>
    </w:p>
    <w:p w14:paraId="6CC715C9" w14:textId="77777777" w:rsidR="00722D99" w:rsidRDefault="00722D99" w:rsidP="0097062A">
      <w:pPr>
        <w:pStyle w:val="Heading3"/>
        <w:rPr>
          <w:rFonts w:ascii="Calibri Light" w:eastAsia="Calibri Light" w:hAnsi="Calibri Light" w:cs="Calibri Light"/>
          <w:sz w:val="26"/>
          <w:szCs w:val="26"/>
          <w:lang w:val="en-US"/>
        </w:rPr>
      </w:pPr>
      <w:r>
        <w:t>NDIS supports in employment operating environment</w:t>
      </w:r>
    </w:p>
    <w:p w14:paraId="2C9BC3D2" w14:textId="77777777" w:rsidR="00722D99" w:rsidRDefault="00722D99" w:rsidP="0097062A">
      <w:pPr>
        <w:rPr>
          <w:lang w:val="en-US"/>
        </w:rPr>
      </w:pPr>
      <w:r w:rsidRPr="644B5232">
        <w:t>The disability employment reform agenda continued its hectic pace with the Disability Reform Ministerial Council formally adopting the Commonwealth, State and Territory Supported Employment Plan and its 12 guiding principles in November 2023.</w:t>
      </w:r>
    </w:p>
    <w:p w14:paraId="6EB4163E" w14:textId="77777777" w:rsidR="00722D99" w:rsidRDefault="00722D99" w:rsidP="0097062A">
      <w:pPr>
        <w:rPr>
          <w:lang w:val="en-US"/>
        </w:rPr>
      </w:pPr>
      <w:r w:rsidRPr="50E3E469">
        <w:t>The release of the 2024</w:t>
      </w:r>
      <w:r w:rsidRPr="50E3E469">
        <w:rPr>
          <w:rFonts w:ascii="Segoe UI Symbol" w:eastAsia="Segoe UI Symbol" w:hAnsi="Segoe UI Symbol" w:cs="Segoe UI Symbol"/>
          <w:lang w:val="en-US"/>
        </w:rPr>
        <w:t>–</w:t>
      </w:r>
      <w:r w:rsidRPr="50E3E469">
        <w:t>26 NDIS Participant Employment Strategy demonstrated the constantly evolving NDIS operating environment. In line with the goals of the strategy, the NDIS/Disability Employment Services (DES) Pathways Pilot and the blended payments trial for NDIS participant school leavers also commenced. To assist providers, NDS released a comprehensive guide on the provision of employment supports for NDIS participants. Developed with input from the NDIA, the guide explained pricing and claiming arrangements, the elements of the Customised Employment model and how employment support providers can engage with mainstream employers.</w:t>
      </w:r>
    </w:p>
    <w:p w14:paraId="2B57092F" w14:textId="77777777" w:rsidR="004316F3" w:rsidRDefault="00722D99" w:rsidP="0097062A">
      <w:r w:rsidRPr="6AD0082D">
        <w:t xml:space="preserve">With pricing and economic conditions making it difficult for supported employment providers to remain sustainable, social procurement remains critical for ongoing viability. NDS continues to advocate for a stronger Commonwealth, </w:t>
      </w:r>
      <w:r>
        <w:t>s</w:t>
      </w:r>
      <w:r w:rsidRPr="6AD0082D">
        <w:t xml:space="preserve">tate and </w:t>
      </w:r>
      <w:r>
        <w:t>t</w:t>
      </w:r>
      <w:r w:rsidRPr="6AD0082D">
        <w:t>erritory commitment on disability social procurement</w:t>
      </w:r>
      <w:r>
        <w:t>,</w:t>
      </w:r>
      <w:r w:rsidRPr="6AD0082D">
        <w:t xml:space="preserve"> which enhances provider sustainability through stronger commercial arrangements as well as promoting the </w:t>
      </w:r>
      <w:proofErr w:type="spellStart"/>
      <w:r w:rsidRPr="6AD0082D">
        <w:t>BuyAbility</w:t>
      </w:r>
      <w:proofErr w:type="spellEnd"/>
      <w:r w:rsidRPr="6AD0082D">
        <w:t xml:space="preserve"> website and directory of social enterprises.</w:t>
      </w:r>
    </w:p>
    <w:p w14:paraId="0AF4F87E" w14:textId="60F82958" w:rsidR="00722D99" w:rsidRPr="00E21061" w:rsidRDefault="00722D99" w:rsidP="0097062A">
      <w:pPr>
        <w:rPr>
          <w:lang w:val="en-US"/>
        </w:rPr>
      </w:pPr>
      <w:r w:rsidRPr="6AD0082D">
        <w:t xml:space="preserve">Through its Vision for Supported Employment, NDS continues to advocate for improved wages and options and pathways to a range of inclusive settings, while supporting our members in this transition, promoting their achievements and seeking </w:t>
      </w:r>
      <w:r w:rsidRPr="00E21061">
        <w:t>an improved and sustainable sector.</w:t>
      </w:r>
    </w:p>
    <w:p w14:paraId="72ED9DE3" w14:textId="77777777" w:rsidR="00722D99" w:rsidRPr="0057377C" w:rsidRDefault="00722D99" w:rsidP="0097062A">
      <w:pPr>
        <w:pStyle w:val="Heading3"/>
      </w:pPr>
      <w:r w:rsidRPr="0057377C">
        <w:t>Supported employment services survey results</w:t>
      </w:r>
    </w:p>
    <w:p w14:paraId="63A779EA" w14:textId="7C85CB36" w:rsidR="004316F3" w:rsidRDefault="00722D99" w:rsidP="0097062A">
      <w:r>
        <w:t xml:space="preserve">This year, fifty-two organisations reported on the delivery of supported employment services. The uncertainty in supported employment is increasing. There has been a large jump in the proportion of respondents (from 59 per cent to 85 per cent) who do </w:t>
      </w:r>
      <w:r>
        <w:lastRenderedPageBreak/>
        <w:t>not believe that the operating environment for supports in employment providers has become more certain in the last 12 months</w:t>
      </w:r>
      <w:r w:rsidR="009D342F" w:rsidRPr="007B3F2D">
        <w:t xml:space="preserve"> </w:t>
      </w:r>
      <w:r w:rsidR="009D342F">
        <w:t xml:space="preserve">(see </w:t>
      </w:r>
      <w:r w:rsidR="00014AE9" w:rsidRPr="00014AE9">
        <w:fldChar w:fldCharType="begin"/>
      </w:r>
      <w:r w:rsidR="00014AE9" w:rsidRPr="00014AE9">
        <w:instrText xml:space="preserve"> REF _Ref184224848 \h  \* MERGEFORMAT </w:instrText>
      </w:r>
      <w:r w:rsidR="00014AE9" w:rsidRPr="00014AE9">
        <w:fldChar w:fldCharType="separate"/>
      </w:r>
      <w:r w:rsidR="00014AE9" w:rsidRPr="00014AE9">
        <w:t xml:space="preserve">Table </w:t>
      </w:r>
      <w:r w:rsidR="00014AE9" w:rsidRPr="00014AE9">
        <w:rPr>
          <w:noProof/>
        </w:rPr>
        <w:t>33</w:t>
      </w:r>
      <w:r w:rsidR="00014AE9" w:rsidRPr="00014AE9">
        <w:fldChar w:fldCharType="end"/>
      </w:r>
      <w:r w:rsidR="009D342F">
        <w:t>)</w:t>
      </w:r>
      <w:r>
        <w:t xml:space="preserve">. </w:t>
      </w:r>
    </w:p>
    <w:p w14:paraId="11BA049D" w14:textId="3FFA5F17" w:rsidR="00E560C9" w:rsidRDefault="00E560C9" w:rsidP="00E560C9">
      <w:pPr>
        <w:pStyle w:val="Caption"/>
      </w:pPr>
      <w:bookmarkStart w:id="130" w:name="_Ref184224848"/>
      <w:r w:rsidRPr="00D3345B">
        <w:rPr>
          <w:b/>
          <w:bCs/>
        </w:rPr>
        <w:t xml:space="preserve">Table </w:t>
      </w:r>
      <w:r w:rsidRPr="00D3345B">
        <w:rPr>
          <w:b/>
          <w:bCs/>
        </w:rPr>
        <w:fldChar w:fldCharType="begin"/>
      </w:r>
      <w:r w:rsidRPr="00D3345B">
        <w:rPr>
          <w:b/>
          <w:bCs/>
        </w:rPr>
        <w:instrText xml:space="preserve"> SEQ Table \* ARABIC </w:instrText>
      </w:r>
      <w:r w:rsidRPr="00D3345B">
        <w:rPr>
          <w:b/>
          <w:bCs/>
        </w:rPr>
        <w:fldChar w:fldCharType="separate"/>
      </w:r>
      <w:r w:rsidR="00DC68AF" w:rsidRPr="00D3345B">
        <w:rPr>
          <w:b/>
          <w:bCs/>
          <w:noProof/>
        </w:rPr>
        <w:t>33</w:t>
      </w:r>
      <w:r w:rsidRPr="00D3345B">
        <w:rPr>
          <w:b/>
          <w:bCs/>
        </w:rPr>
        <w:fldChar w:fldCharType="end"/>
      </w:r>
      <w:bookmarkEnd w:id="130"/>
      <w:r w:rsidRPr="00D3345B">
        <w:t xml:space="preserve"> Compared to 12 months ago, the current operating environment for supports in employment providers is more certain</w:t>
      </w:r>
    </w:p>
    <w:tbl>
      <w:tblPr>
        <w:tblW w:w="8359" w:type="dxa"/>
        <w:tblLayout w:type="fixed"/>
        <w:tblLook w:val="04A0" w:firstRow="1" w:lastRow="0" w:firstColumn="1" w:lastColumn="0" w:noHBand="0" w:noVBand="1"/>
        <w:tblCaption w:val="Table 33 Compared to 12 months ago, the current operating environment for supports in employment providers is more certain"/>
        <w:tblDescription w:val="A table showing respondents who agree or disagree with the statement that the current operating environment for supports in employment providers is more certain. Trend data from 2018 to 2024."/>
      </w:tblPr>
      <w:tblGrid>
        <w:gridCol w:w="1129"/>
        <w:gridCol w:w="2410"/>
        <w:gridCol w:w="2410"/>
        <w:gridCol w:w="2410"/>
      </w:tblGrid>
      <w:tr w:rsidR="00E560C9" w:rsidRPr="00AA57FF" w14:paraId="020D27E6" w14:textId="77777777" w:rsidTr="00AA57FF">
        <w:trPr>
          <w:trHeight w:val="307"/>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tcMar>
              <w:left w:w="113" w:type="dxa"/>
              <w:right w:w="113" w:type="dxa"/>
            </w:tcMar>
            <w:vAlign w:val="center"/>
            <w:hideMark/>
          </w:tcPr>
          <w:p w14:paraId="3FEA21A6" w14:textId="77777777" w:rsidR="00E560C9" w:rsidRPr="00AA57FF" w:rsidRDefault="00E560C9" w:rsidP="00AA57FF">
            <w:pPr>
              <w:rPr>
                <w:b/>
                <w:bCs/>
                <w:lang w:eastAsia="en-AU"/>
              </w:rPr>
            </w:pPr>
            <w:bookmarkStart w:id="131" w:name="Title_Table_33"/>
            <w:bookmarkEnd w:id="131"/>
            <w:r w:rsidRPr="00AA57FF">
              <w:rPr>
                <w:b/>
                <w:bCs/>
                <w:lang w:eastAsia="en-AU"/>
              </w:rPr>
              <w:t>Year</w:t>
            </w:r>
          </w:p>
        </w:tc>
        <w:tc>
          <w:tcPr>
            <w:tcW w:w="2410" w:type="dxa"/>
            <w:tcBorders>
              <w:top w:val="single" w:sz="4" w:space="0" w:color="auto"/>
              <w:left w:val="nil"/>
              <w:bottom w:val="single" w:sz="4" w:space="0" w:color="auto"/>
              <w:right w:val="single" w:sz="4" w:space="0" w:color="auto"/>
            </w:tcBorders>
            <w:shd w:val="clear" w:color="000000" w:fill="D9D9D9"/>
            <w:noWrap/>
            <w:tcMar>
              <w:left w:w="113" w:type="dxa"/>
              <w:right w:w="113" w:type="dxa"/>
            </w:tcMar>
            <w:vAlign w:val="center"/>
            <w:hideMark/>
          </w:tcPr>
          <w:p w14:paraId="1419AB88" w14:textId="77777777" w:rsidR="00E560C9" w:rsidRPr="00AA57FF" w:rsidRDefault="00E560C9" w:rsidP="00AA57FF">
            <w:pPr>
              <w:rPr>
                <w:b/>
                <w:bCs/>
                <w:lang w:eastAsia="en-AU"/>
              </w:rPr>
            </w:pPr>
            <w:r w:rsidRPr="00AA57FF">
              <w:rPr>
                <w:b/>
                <w:bCs/>
                <w:lang w:eastAsia="en-AU"/>
              </w:rPr>
              <w:t>Disagree or strongly disagree</w:t>
            </w:r>
          </w:p>
        </w:tc>
        <w:tc>
          <w:tcPr>
            <w:tcW w:w="2410" w:type="dxa"/>
            <w:tcBorders>
              <w:top w:val="single" w:sz="4" w:space="0" w:color="auto"/>
              <w:left w:val="nil"/>
              <w:bottom w:val="single" w:sz="4" w:space="0" w:color="auto"/>
              <w:right w:val="single" w:sz="4" w:space="0" w:color="auto"/>
            </w:tcBorders>
            <w:shd w:val="clear" w:color="000000" w:fill="D9D9D9"/>
            <w:noWrap/>
            <w:tcMar>
              <w:left w:w="113" w:type="dxa"/>
              <w:right w:w="113" w:type="dxa"/>
            </w:tcMar>
            <w:vAlign w:val="center"/>
            <w:hideMark/>
          </w:tcPr>
          <w:p w14:paraId="37D64C29" w14:textId="77777777" w:rsidR="00E560C9" w:rsidRPr="00AA57FF" w:rsidRDefault="00E560C9" w:rsidP="00AA57FF">
            <w:pPr>
              <w:rPr>
                <w:b/>
                <w:bCs/>
                <w:lang w:eastAsia="en-AU"/>
              </w:rPr>
            </w:pPr>
            <w:r w:rsidRPr="00AA57FF">
              <w:rPr>
                <w:b/>
                <w:bCs/>
                <w:lang w:eastAsia="en-AU"/>
              </w:rPr>
              <w:t>Neither agree nor disagree</w:t>
            </w:r>
          </w:p>
        </w:tc>
        <w:tc>
          <w:tcPr>
            <w:tcW w:w="2410" w:type="dxa"/>
            <w:tcBorders>
              <w:top w:val="single" w:sz="4" w:space="0" w:color="auto"/>
              <w:left w:val="nil"/>
              <w:bottom w:val="single" w:sz="4" w:space="0" w:color="auto"/>
              <w:right w:val="single" w:sz="4" w:space="0" w:color="auto"/>
            </w:tcBorders>
            <w:shd w:val="clear" w:color="000000" w:fill="D9D9D9"/>
            <w:noWrap/>
            <w:tcMar>
              <w:left w:w="113" w:type="dxa"/>
              <w:right w:w="113" w:type="dxa"/>
            </w:tcMar>
            <w:vAlign w:val="center"/>
            <w:hideMark/>
          </w:tcPr>
          <w:p w14:paraId="33348CDF" w14:textId="77777777" w:rsidR="00E560C9" w:rsidRPr="00AA57FF" w:rsidRDefault="00E560C9" w:rsidP="00AA57FF">
            <w:pPr>
              <w:rPr>
                <w:b/>
                <w:bCs/>
                <w:lang w:eastAsia="en-AU"/>
              </w:rPr>
            </w:pPr>
            <w:r w:rsidRPr="00AA57FF">
              <w:rPr>
                <w:b/>
                <w:bCs/>
                <w:lang w:eastAsia="en-AU"/>
              </w:rPr>
              <w:t>Agree or strongly agree</w:t>
            </w:r>
          </w:p>
        </w:tc>
      </w:tr>
      <w:tr w:rsidR="00E560C9" w:rsidRPr="006153C0" w14:paraId="69CD0476"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4DC050B6" w14:textId="77777777" w:rsidR="00E560C9" w:rsidRPr="006153C0" w:rsidRDefault="00E560C9" w:rsidP="00AA57FF">
            <w:pPr>
              <w:rPr>
                <w:lang w:eastAsia="en-AU"/>
              </w:rPr>
            </w:pPr>
            <w:r w:rsidRPr="006153C0">
              <w:rPr>
                <w:lang w:eastAsia="en-AU"/>
              </w:rPr>
              <w:t>2018</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5E52BC3" w14:textId="77777777" w:rsidR="00E560C9" w:rsidRPr="006153C0" w:rsidRDefault="00E560C9" w:rsidP="00AA57FF">
            <w:pPr>
              <w:rPr>
                <w:lang w:eastAsia="en-AU"/>
              </w:rPr>
            </w:pPr>
            <w:r w:rsidRPr="006153C0">
              <w:rPr>
                <w:lang w:eastAsia="en-AU"/>
              </w:rPr>
              <w:t>69</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23CCB9EC" w14:textId="77777777" w:rsidR="00E560C9" w:rsidRPr="006153C0" w:rsidRDefault="00E560C9" w:rsidP="00AA57FF">
            <w:pPr>
              <w:rPr>
                <w:lang w:eastAsia="en-AU"/>
              </w:rPr>
            </w:pPr>
            <w:r w:rsidRPr="006153C0">
              <w:rPr>
                <w:lang w:eastAsia="en-AU"/>
              </w:rPr>
              <w:t>17</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000563A9" w14:textId="77777777" w:rsidR="00E560C9" w:rsidRPr="006153C0" w:rsidRDefault="00E560C9" w:rsidP="00AA57FF">
            <w:pPr>
              <w:rPr>
                <w:lang w:eastAsia="en-AU"/>
              </w:rPr>
            </w:pPr>
            <w:r w:rsidRPr="006153C0">
              <w:rPr>
                <w:lang w:eastAsia="en-AU"/>
              </w:rPr>
              <w:t>13</w:t>
            </w:r>
            <w:r>
              <w:rPr>
                <w:lang w:eastAsia="en-AU"/>
              </w:rPr>
              <w:t xml:space="preserve"> per cent</w:t>
            </w:r>
          </w:p>
        </w:tc>
      </w:tr>
      <w:tr w:rsidR="00E560C9" w:rsidRPr="006153C0" w14:paraId="29016963"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79311A4D" w14:textId="77777777" w:rsidR="00E560C9" w:rsidRPr="006153C0" w:rsidRDefault="00E560C9" w:rsidP="00AA57FF">
            <w:pPr>
              <w:rPr>
                <w:lang w:eastAsia="en-AU"/>
              </w:rPr>
            </w:pPr>
            <w:r w:rsidRPr="006153C0">
              <w:rPr>
                <w:lang w:eastAsia="en-AU"/>
              </w:rPr>
              <w:t>2019</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BCAF834" w14:textId="77777777" w:rsidR="00E560C9" w:rsidRPr="006153C0" w:rsidRDefault="00E560C9" w:rsidP="00AA57FF">
            <w:pPr>
              <w:rPr>
                <w:lang w:eastAsia="en-AU"/>
              </w:rPr>
            </w:pPr>
            <w:r w:rsidRPr="006153C0">
              <w:rPr>
                <w:lang w:eastAsia="en-AU"/>
              </w:rPr>
              <w:t>67</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4A0C306" w14:textId="77777777" w:rsidR="00E560C9" w:rsidRPr="006153C0" w:rsidRDefault="00E560C9" w:rsidP="00AA57FF">
            <w:pPr>
              <w:rPr>
                <w:lang w:eastAsia="en-AU"/>
              </w:rPr>
            </w:pPr>
            <w:r w:rsidRPr="006153C0">
              <w:rPr>
                <w:lang w:eastAsia="en-AU"/>
              </w:rPr>
              <w:t>21</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066698D2" w14:textId="77777777" w:rsidR="00E560C9" w:rsidRPr="006153C0" w:rsidRDefault="00E560C9" w:rsidP="00AA57FF">
            <w:pPr>
              <w:rPr>
                <w:lang w:eastAsia="en-AU"/>
              </w:rPr>
            </w:pPr>
            <w:r w:rsidRPr="006153C0">
              <w:rPr>
                <w:lang w:eastAsia="en-AU"/>
              </w:rPr>
              <w:t>6</w:t>
            </w:r>
            <w:r>
              <w:rPr>
                <w:lang w:eastAsia="en-AU"/>
              </w:rPr>
              <w:t xml:space="preserve"> per cent</w:t>
            </w:r>
          </w:p>
        </w:tc>
      </w:tr>
      <w:tr w:rsidR="00E560C9" w:rsidRPr="006153C0" w14:paraId="2216DB71"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3634BE2D" w14:textId="77777777" w:rsidR="00E560C9" w:rsidRPr="006153C0" w:rsidRDefault="00E560C9" w:rsidP="00AA57FF">
            <w:pPr>
              <w:rPr>
                <w:lang w:eastAsia="en-AU"/>
              </w:rPr>
            </w:pPr>
            <w:r w:rsidRPr="006153C0">
              <w:rPr>
                <w:lang w:eastAsia="en-AU"/>
              </w:rPr>
              <w:t>2020</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20709B91" w14:textId="77777777" w:rsidR="00E560C9" w:rsidRPr="006153C0" w:rsidRDefault="00E560C9" w:rsidP="00AA57FF">
            <w:pPr>
              <w:rPr>
                <w:lang w:eastAsia="en-AU"/>
              </w:rPr>
            </w:pPr>
            <w:r w:rsidRPr="006153C0">
              <w:rPr>
                <w:lang w:eastAsia="en-AU"/>
              </w:rPr>
              <w:t>62</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1B0CCDA3" w14:textId="77777777" w:rsidR="00E560C9" w:rsidRPr="006153C0" w:rsidRDefault="00E560C9" w:rsidP="00AA57FF">
            <w:pPr>
              <w:rPr>
                <w:lang w:eastAsia="en-AU"/>
              </w:rPr>
            </w:pPr>
            <w:r w:rsidRPr="006153C0">
              <w:rPr>
                <w:lang w:eastAsia="en-AU"/>
              </w:rPr>
              <w:t>22</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5539B663" w14:textId="77777777" w:rsidR="00E560C9" w:rsidRPr="006153C0" w:rsidRDefault="00E560C9" w:rsidP="00AA57FF">
            <w:pPr>
              <w:rPr>
                <w:lang w:eastAsia="en-AU"/>
              </w:rPr>
            </w:pPr>
            <w:r w:rsidRPr="006153C0">
              <w:rPr>
                <w:lang w:eastAsia="en-AU"/>
              </w:rPr>
              <w:t>12</w:t>
            </w:r>
            <w:r>
              <w:rPr>
                <w:lang w:eastAsia="en-AU"/>
              </w:rPr>
              <w:t xml:space="preserve"> per cent</w:t>
            </w:r>
          </w:p>
        </w:tc>
      </w:tr>
      <w:tr w:rsidR="00E560C9" w:rsidRPr="006153C0" w14:paraId="545355C3"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61ED51F8" w14:textId="77777777" w:rsidR="00E560C9" w:rsidRPr="006153C0" w:rsidRDefault="00E560C9" w:rsidP="00AA57FF">
            <w:pPr>
              <w:rPr>
                <w:lang w:eastAsia="en-AU"/>
              </w:rPr>
            </w:pPr>
            <w:r w:rsidRPr="006153C0">
              <w:rPr>
                <w:lang w:eastAsia="en-AU"/>
              </w:rPr>
              <w:t>2021</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86E81B7" w14:textId="77777777" w:rsidR="00E560C9" w:rsidRPr="006153C0" w:rsidRDefault="00E560C9" w:rsidP="00AA57FF">
            <w:pPr>
              <w:rPr>
                <w:lang w:eastAsia="en-AU"/>
              </w:rPr>
            </w:pPr>
            <w:r w:rsidRPr="006153C0">
              <w:rPr>
                <w:lang w:eastAsia="en-AU"/>
              </w:rPr>
              <w:t>55</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72733586" w14:textId="77777777" w:rsidR="00E560C9" w:rsidRPr="006153C0" w:rsidRDefault="00E560C9" w:rsidP="00AA57FF">
            <w:pPr>
              <w:rPr>
                <w:lang w:eastAsia="en-AU"/>
              </w:rPr>
            </w:pPr>
            <w:r w:rsidRPr="006153C0">
              <w:rPr>
                <w:lang w:eastAsia="en-AU"/>
              </w:rPr>
              <w:t>25</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48D95309" w14:textId="77777777" w:rsidR="00E560C9" w:rsidRPr="006153C0" w:rsidRDefault="00E560C9" w:rsidP="00AA57FF">
            <w:pPr>
              <w:rPr>
                <w:lang w:eastAsia="en-AU"/>
              </w:rPr>
            </w:pPr>
            <w:r w:rsidRPr="006153C0">
              <w:rPr>
                <w:lang w:eastAsia="en-AU"/>
              </w:rPr>
              <w:t>20</w:t>
            </w:r>
            <w:r>
              <w:rPr>
                <w:lang w:eastAsia="en-AU"/>
              </w:rPr>
              <w:t xml:space="preserve"> per cent</w:t>
            </w:r>
          </w:p>
        </w:tc>
      </w:tr>
      <w:tr w:rsidR="00E560C9" w:rsidRPr="006153C0" w14:paraId="188FC86E"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1C0DFD59" w14:textId="77777777" w:rsidR="00E560C9" w:rsidRPr="006153C0" w:rsidRDefault="00E560C9" w:rsidP="00AA57FF">
            <w:pPr>
              <w:rPr>
                <w:lang w:eastAsia="en-AU"/>
              </w:rPr>
            </w:pPr>
            <w:r w:rsidRPr="006153C0">
              <w:rPr>
                <w:lang w:eastAsia="en-AU"/>
              </w:rPr>
              <w:t>2022</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5FBCFB33" w14:textId="77777777" w:rsidR="00E560C9" w:rsidRPr="006153C0" w:rsidRDefault="00E560C9" w:rsidP="00AA57FF">
            <w:pPr>
              <w:rPr>
                <w:lang w:eastAsia="en-AU"/>
              </w:rPr>
            </w:pPr>
            <w:r w:rsidRPr="006153C0">
              <w:rPr>
                <w:lang w:eastAsia="en-AU"/>
              </w:rPr>
              <w:t>56</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FFDB262" w14:textId="77777777" w:rsidR="00E560C9" w:rsidRPr="006153C0" w:rsidRDefault="00E560C9" w:rsidP="00AA57FF">
            <w:pPr>
              <w:rPr>
                <w:lang w:eastAsia="en-AU"/>
              </w:rPr>
            </w:pPr>
            <w:r w:rsidRPr="006153C0">
              <w:rPr>
                <w:lang w:eastAsia="en-AU"/>
              </w:rPr>
              <w:t>26</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72B15827" w14:textId="77777777" w:rsidR="00E560C9" w:rsidRPr="006153C0" w:rsidRDefault="00E560C9" w:rsidP="00AA57FF">
            <w:pPr>
              <w:rPr>
                <w:lang w:eastAsia="en-AU"/>
              </w:rPr>
            </w:pPr>
            <w:r w:rsidRPr="006153C0">
              <w:rPr>
                <w:lang w:eastAsia="en-AU"/>
              </w:rPr>
              <w:t>18</w:t>
            </w:r>
            <w:r>
              <w:rPr>
                <w:lang w:eastAsia="en-AU"/>
              </w:rPr>
              <w:t xml:space="preserve"> per cent</w:t>
            </w:r>
          </w:p>
        </w:tc>
      </w:tr>
      <w:tr w:rsidR="00E560C9" w:rsidRPr="006153C0" w14:paraId="0363A431"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5F08EBF7" w14:textId="77777777" w:rsidR="00E560C9" w:rsidRPr="006153C0" w:rsidRDefault="00E560C9" w:rsidP="00AA57FF">
            <w:pPr>
              <w:rPr>
                <w:lang w:eastAsia="en-AU"/>
              </w:rPr>
            </w:pPr>
            <w:r w:rsidRPr="006153C0">
              <w:rPr>
                <w:lang w:eastAsia="en-AU"/>
              </w:rPr>
              <w:t>2023</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745151EC" w14:textId="77777777" w:rsidR="00E560C9" w:rsidRPr="006153C0" w:rsidRDefault="00E560C9" w:rsidP="00AA57FF">
            <w:pPr>
              <w:rPr>
                <w:lang w:eastAsia="en-AU"/>
              </w:rPr>
            </w:pPr>
            <w:r w:rsidRPr="006153C0">
              <w:rPr>
                <w:lang w:eastAsia="en-AU"/>
              </w:rPr>
              <w:t>59</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6EC0B9DA" w14:textId="77777777" w:rsidR="00E560C9" w:rsidRPr="006153C0" w:rsidRDefault="00E560C9" w:rsidP="00AA57FF">
            <w:pPr>
              <w:rPr>
                <w:lang w:eastAsia="en-AU"/>
              </w:rPr>
            </w:pPr>
            <w:r w:rsidRPr="006153C0">
              <w:rPr>
                <w:lang w:eastAsia="en-AU"/>
              </w:rPr>
              <w:t>30</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72A6C86B" w14:textId="77777777" w:rsidR="00E560C9" w:rsidRPr="006153C0" w:rsidRDefault="00E560C9" w:rsidP="00AA57FF">
            <w:pPr>
              <w:rPr>
                <w:lang w:eastAsia="en-AU"/>
              </w:rPr>
            </w:pPr>
            <w:r w:rsidRPr="006153C0">
              <w:rPr>
                <w:lang w:eastAsia="en-AU"/>
              </w:rPr>
              <w:t>11</w:t>
            </w:r>
            <w:r>
              <w:rPr>
                <w:lang w:eastAsia="en-AU"/>
              </w:rPr>
              <w:t xml:space="preserve"> per cent</w:t>
            </w:r>
          </w:p>
        </w:tc>
      </w:tr>
      <w:tr w:rsidR="00E560C9" w:rsidRPr="006153C0" w14:paraId="46899AED" w14:textId="77777777" w:rsidTr="00AA57FF">
        <w:trPr>
          <w:trHeight w:val="300"/>
        </w:trPr>
        <w:tc>
          <w:tcPr>
            <w:tcW w:w="1129" w:type="dxa"/>
            <w:tcBorders>
              <w:top w:val="nil"/>
              <w:left w:val="single" w:sz="4" w:space="0" w:color="auto"/>
              <w:bottom w:val="single" w:sz="4" w:space="0" w:color="auto"/>
              <w:right w:val="single" w:sz="4" w:space="0" w:color="auto"/>
            </w:tcBorders>
            <w:shd w:val="clear" w:color="auto" w:fill="auto"/>
            <w:noWrap/>
            <w:tcMar>
              <w:left w:w="113" w:type="dxa"/>
              <w:right w:w="113" w:type="dxa"/>
            </w:tcMar>
            <w:vAlign w:val="center"/>
            <w:hideMark/>
          </w:tcPr>
          <w:p w14:paraId="209E8DE5" w14:textId="77777777" w:rsidR="00E560C9" w:rsidRPr="006153C0" w:rsidRDefault="00E560C9" w:rsidP="00AA57FF">
            <w:pPr>
              <w:rPr>
                <w:lang w:eastAsia="en-AU"/>
              </w:rPr>
            </w:pPr>
            <w:r w:rsidRPr="006153C0">
              <w:rPr>
                <w:lang w:eastAsia="en-AU"/>
              </w:rPr>
              <w:t>2024</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7DB65677" w14:textId="77777777" w:rsidR="00E560C9" w:rsidRPr="006153C0" w:rsidRDefault="00E560C9" w:rsidP="00AA57FF">
            <w:pPr>
              <w:rPr>
                <w:lang w:eastAsia="en-AU"/>
              </w:rPr>
            </w:pPr>
            <w:r w:rsidRPr="006153C0">
              <w:rPr>
                <w:lang w:eastAsia="en-AU"/>
              </w:rPr>
              <w:t>85</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57200FFC" w14:textId="77777777" w:rsidR="00E560C9" w:rsidRPr="006153C0" w:rsidRDefault="00E560C9" w:rsidP="00AA57FF">
            <w:pPr>
              <w:rPr>
                <w:lang w:eastAsia="en-AU"/>
              </w:rPr>
            </w:pPr>
            <w:r w:rsidRPr="006153C0">
              <w:rPr>
                <w:lang w:eastAsia="en-AU"/>
              </w:rPr>
              <w:t>8</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tcMar>
              <w:left w:w="113" w:type="dxa"/>
              <w:right w:w="113" w:type="dxa"/>
            </w:tcMar>
            <w:vAlign w:val="center"/>
            <w:hideMark/>
          </w:tcPr>
          <w:p w14:paraId="04122106" w14:textId="77777777" w:rsidR="00E560C9" w:rsidRPr="006153C0" w:rsidRDefault="00E560C9" w:rsidP="00AA57FF">
            <w:pPr>
              <w:rPr>
                <w:lang w:eastAsia="en-AU"/>
              </w:rPr>
            </w:pPr>
            <w:r w:rsidRPr="006153C0">
              <w:rPr>
                <w:lang w:eastAsia="en-AU"/>
              </w:rPr>
              <w:t>8</w:t>
            </w:r>
            <w:r>
              <w:rPr>
                <w:lang w:eastAsia="en-AU"/>
              </w:rPr>
              <w:t xml:space="preserve"> per cent</w:t>
            </w:r>
          </w:p>
        </w:tc>
      </w:tr>
    </w:tbl>
    <w:p w14:paraId="44904303" w14:textId="4C98F16A" w:rsidR="004316F3" w:rsidRDefault="00722D99" w:rsidP="00D14F4C">
      <w:pPr>
        <w:spacing w:before="360"/>
        <w:rPr>
          <w:color w:val="000000" w:themeColor="text1"/>
          <w:lang w:val="en-US"/>
        </w:rPr>
      </w:pPr>
      <w:r>
        <w:t xml:space="preserve">Similarly, half of respondents (up from 29 per cent) do not believe that the transition to the NDIS has enhanced their capacity to provide employment opportunities </w:t>
      </w:r>
      <w:r w:rsidR="007D16AD">
        <w:t xml:space="preserve">(see </w:t>
      </w:r>
      <w:r w:rsidR="007D16AD" w:rsidRPr="007D16AD">
        <w:fldChar w:fldCharType="begin"/>
      </w:r>
      <w:r w:rsidR="007D16AD" w:rsidRPr="007D16AD">
        <w:instrText xml:space="preserve"> REF _Ref184225169 \h  \* MERGEFORMAT </w:instrText>
      </w:r>
      <w:r w:rsidR="007D16AD" w:rsidRPr="007D16AD">
        <w:fldChar w:fldCharType="separate"/>
      </w:r>
      <w:r w:rsidR="007D16AD" w:rsidRPr="007D16AD">
        <w:t xml:space="preserve">Table </w:t>
      </w:r>
      <w:r w:rsidR="007D16AD" w:rsidRPr="007D16AD">
        <w:rPr>
          <w:noProof/>
        </w:rPr>
        <w:t>34</w:t>
      </w:r>
      <w:r w:rsidR="007D16AD" w:rsidRPr="007D16AD">
        <w:fldChar w:fldCharType="end"/>
      </w:r>
      <w:r w:rsidR="007D16AD">
        <w:t xml:space="preserve">) </w:t>
      </w:r>
      <w:r>
        <w:t>and 71 per cent of respondents cannot provide the support required for individuals under the NDIS pricing arrangements</w:t>
      </w:r>
      <w:r w:rsidR="009D342F">
        <w:t xml:space="preserve"> </w:t>
      </w:r>
      <w:r w:rsidR="007D16AD">
        <w:t xml:space="preserve">(see </w:t>
      </w:r>
      <w:r w:rsidR="007D16AD" w:rsidRPr="007D16AD">
        <w:fldChar w:fldCharType="begin"/>
      </w:r>
      <w:r w:rsidR="007D16AD" w:rsidRPr="007D16AD">
        <w:instrText xml:space="preserve"> REF _Ref184225311 \h  \* MERGEFORMAT </w:instrText>
      </w:r>
      <w:r w:rsidR="007D16AD" w:rsidRPr="007D16AD">
        <w:fldChar w:fldCharType="separate"/>
      </w:r>
      <w:r w:rsidR="007D16AD" w:rsidRPr="007D16AD">
        <w:t xml:space="preserve">Table </w:t>
      </w:r>
      <w:r w:rsidR="007D16AD" w:rsidRPr="007D16AD">
        <w:rPr>
          <w:noProof/>
        </w:rPr>
        <w:t>35</w:t>
      </w:r>
      <w:r w:rsidR="007D16AD" w:rsidRPr="007D16AD">
        <w:fldChar w:fldCharType="end"/>
      </w:r>
      <w:r w:rsidR="007D16AD">
        <w:t>)</w:t>
      </w:r>
      <w:r>
        <w:t>. Even though there is quite a small sample size, each of these measures shows a significant worsening since 2023.</w:t>
      </w:r>
    </w:p>
    <w:p w14:paraId="12E9D5CC" w14:textId="212D07AB" w:rsidR="00D0022A" w:rsidRDefault="00D0022A" w:rsidP="00D0022A">
      <w:pPr>
        <w:pStyle w:val="Caption"/>
      </w:pPr>
      <w:bookmarkStart w:id="132" w:name="_Ref184225169"/>
      <w:r w:rsidRPr="00014AE9">
        <w:rPr>
          <w:b/>
          <w:bCs/>
        </w:rPr>
        <w:t xml:space="preserve">Table </w:t>
      </w:r>
      <w:r w:rsidRPr="00014AE9">
        <w:rPr>
          <w:b/>
          <w:bCs/>
        </w:rPr>
        <w:fldChar w:fldCharType="begin"/>
      </w:r>
      <w:r w:rsidRPr="00014AE9">
        <w:rPr>
          <w:b/>
          <w:bCs/>
        </w:rPr>
        <w:instrText xml:space="preserve"> SEQ Table \* ARABIC </w:instrText>
      </w:r>
      <w:r w:rsidRPr="00014AE9">
        <w:rPr>
          <w:b/>
          <w:bCs/>
        </w:rPr>
        <w:fldChar w:fldCharType="separate"/>
      </w:r>
      <w:r w:rsidR="00DC68AF" w:rsidRPr="00014AE9">
        <w:rPr>
          <w:b/>
          <w:bCs/>
          <w:noProof/>
        </w:rPr>
        <w:t>34</w:t>
      </w:r>
      <w:r w:rsidRPr="00014AE9">
        <w:rPr>
          <w:b/>
          <w:bCs/>
        </w:rPr>
        <w:fldChar w:fldCharType="end"/>
      </w:r>
      <w:bookmarkEnd w:id="132"/>
      <w:r w:rsidRPr="00014AE9">
        <w:t xml:space="preserve"> The transition to the NDIS has enhanced our capacity to provide employment opportunities</w:t>
      </w:r>
    </w:p>
    <w:tbl>
      <w:tblPr>
        <w:tblW w:w="8359" w:type="dxa"/>
        <w:tblLayout w:type="fixed"/>
        <w:tblLook w:val="04A0" w:firstRow="1" w:lastRow="0" w:firstColumn="1" w:lastColumn="0" w:noHBand="0" w:noVBand="1"/>
        <w:tblCaption w:val="Table 34 The transition to the NDIS has enhanced our capacity to provide employment opportunities"/>
        <w:tblDescription w:val="A table showing respondents who agree or disagree with the statement that the transition to the NDIS has enhanced our capacity to provide employment opportunities. Trend data from 2019 to 2024."/>
      </w:tblPr>
      <w:tblGrid>
        <w:gridCol w:w="1129"/>
        <w:gridCol w:w="2410"/>
        <w:gridCol w:w="2410"/>
        <w:gridCol w:w="2410"/>
      </w:tblGrid>
      <w:tr w:rsidR="00D0022A" w:rsidRPr="00AA57FF" w14:paraId="45900760" w14:textId="77777777" w:rsidTr="007D16AD">
        <w:trPr>
          <w:trHeight w:val="307"/>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BBB50C" w14:textId="77777777" w:rsidR="00D0022A" w:rsidRPr="00AA57FF" w:rsidRDefault="00D0022A" w:rsidP="00AA57FF">
            <w:pPr>
              <w:rPr>
                <w:b/>
                <w:bCs/>
                <w:lang w:eastAsia="en-AU"/>
              </w:rPr>
            </w:pPr>
            <w:bookmarkStart w:id="133" w:name="_Ref183700853"/>
            <w:r w:rsidRPr="00AA57FF">
              <w:rPr>
                <w:b/>
                <w:bCs/>
                <w:lang w:eastAsia="en-AU"/>
              </w:rPr>
              <w:t>Ye</w:t>
            </w:r>
            <w:bookmarkStart w:id="134" w:name="Title_Table_34"/>
            <w:bookmarkEnd w:id="134"/>
            <w:r w:rsidRPr="00AA57FF">
              <w:rPr>
                <w:b/>
                <w:bCs/>
                <w:lang w:eastAsia="en-AU"/>
              </w:rPr>
              <w:t>ar</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4F1D6134" w14:textId="77777777" w:rsidR="00D0022A" w:rsidRPr="00AA57FF" w:rsidRDefault="00D0022A" w:rsidP="00AA57FF">
            <w:pPr>
              <w:rPr>
                <w:b/>
                <w:bCs/>
                <w:lang w:eastAsia="en-AU"/>
              </w:rPr>
            </w:pPr>
            <w:r w:rsidRPr="00AA57FF">
              <w:rPr>
                <w:b/>
                <w:bCs/>
                <w:lang w:eastAsia="en-AU"/>
              </w:rPr>
              <w:t>Disagree or strongly disagree</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3526EB8C" w14:textId="77777777" w:rsidR="00D0022A" w:rsidRPr="00AA57FF" w:rsidRDefault="00D0022A" w:rsidP="00AA57FF">
            <w:pPr>
              <w:rPr>
                <w:b/>
                <w:bCs/>
                <w:lang w:eastAsia="en-AU"/>
              </w:rPr>
            </w:pPr>
            <w:r w:rsidRPr="00AA57FF">
              <w:rPr>
                <w:b/>
                <w:bCs/>
                <w:lang w:eastAsia="en-AU"/>
              </w:rPr>
              <w:t>Neither agree nor disagree</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312723AA" w14:textId="77777777" w:rsidR="00D0022A" w:rsidRPr="00AA57FF" w:rsidRDefault="00D0022A" w:rsidP="00AA57FF">
            <w:pPr>
              <w:rPr>
                <w:b/>
                <w:bCs/>
                <w:lang w:eastAsia="en-AU"/>
              </w:rPr>
            </w:pPr>
            <w:r w:rsidRPr="00AA57FF">
              <w:rPr>
                <w:b/>
                <w:bCs/>
                <w:lang w:eastAsia="en-AU"/>
              </w:rPr>
              <w:t>Agree or strongly agree</w:t>
            </w:r>
          </w:p>
        </w:tc>
      </w:tr>
      <w:tr w:rsidR="00D0022A" w:rsidRPr="00D52B0A" w14:paraId="6F4EE3AB"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177C6D1" w14:textId="77777777" w:rsidR="00D0022A" w:rsidRPr="00D52B0A" w:rsidRDefault="00D0022A" w:rsidP="00AA57FF">
            <w:pPr>
              <w:rPr>
                <w:lang w:eastAsia="en-AU"/>
              </w:rPr>
            </w:pPr>
            <w:r w:rsidRPr="00D52B0A">
              <w:rPr>
                <w:lang w:eastAsia="en-AU"/>
              </w:rPr>
              <w:t>2019</w:t>
            </w:r>
          </w:p>
        </w:tc>
        <w:tc>
          <w:tcPr>
            <w:tcW w:w="2410" w:type="dxa"/>
            <w:tcBorders>
              <w:top w:val="nil"/>
              <w:left w:val="nil"/>
              <w:bottom w:val="single" w:sz="4" w:space="0" w:color="auto"/>
              <w:right w:val="single" w:sz="4" w:space="0" w:color="auto"/>
            </w:tcBorders>
            <w:shd w:val="clear" w:color="auto" w:fill="auto"/>
            <w:noWrap/>
            <w:vAlign w:val="center"/>
            <w:hideMark/>
          </w:tcPr>
          <w:p w14:paraId="2B130AB5" w14:textId="77777777" w:rsidR="00D0022A" w:rsidRPr="00D52B0A" w:rsidRDefault="00D0022A" w:rsidP="00AA57FF">
            <w:pPr>
              <w:rPr>
                <w:lang w:eastAsia="en-AU"/>
              </w:rPr>
            </w:pPr>
            <w:r w:rsidRPr="00D52B0A">
              <w:rPr>
                <w:lang w:eastAsia="en-AU"/>
              </w:rPr>
              <w:t>45</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148E7FDF" w14:textId="77777777" w:rsidR="00D0022A" w:rsidRPr="00D52B0A" w:rsidRDefault="00D0022A" w:rsidP="00AA57FF">
            <w:pPr>
              <w:rPr>
                <w:lang w:eastAsia="en-AU"/>
              </w:rPr>
            </w:pPr>
            <w:r w:rsidRPr="00D52B0A">
              <w:rPr>
                <w:lang w:eastAsia="en-AU"/>
              </w:rPr>
              <w:t>23</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39CC57BE" w14:textId="77777777" w:rsidR="00D0022A" w:rsidRPr="00D52B0A" w:rsidRDefault="00D0022A" w:rsidP="00AA57FF">
            <w:pPr>
              <w:rPr>
                <w:lang w:eastAsia="en-AU"/>
              </w:rPr>
            </w:pPr>
            <w:r w:rsidRPr="00D52B0A">
              <w:rPr>
                <w:lang w:eastAsia="en-AU"/>
              </w:rPr>
              <w:t>27</w:t>
            </w:r>
            <w:r>
              <w:rPr>
                <w:lang w:eastAsia="en-AU"/>
              </w:rPr>
              <w:t xml:space="preserve"> per cent</w:t>
            </w:r>
          </w:p>
        </w:tc>
      </w:tr>
      <w:tr w:rsidR="00D0022A" w:rsidRPr="00D52B0A" w14:paraId="39978BBC"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0811A8C" w14:textId="77777777" w:rsidR="00D0022A" w:rsidRPr="00D52B0A" w:rsidRDefault="00D0022A" w:rsidP="00AA57FF">
            <w:pPr>
              <w:rPr>
                <w:lang w:eastAsia="en-AU"/>
              </w:rPr>
            </w:pPr>
            <w:r w:rsidRPr="00D52B0A">
              <w:rPr>
                <w:lang w:eastAsia="en-AU"/>
              </w:rPr>
              <w:t>2020</w:t>
            </w:r>
          </w:p>
        </w:tc>
        <w:tc>
          <w:tcPr>
            <w:tcW w:w="2410" w:type="dxa"/>
            <w:tcBorders>
              <w:top w:val="nil"/>
              <w:left w:val="nil"/>
              <w:bottom w:val="single" w:sz="4" w:space="0" w:color="auto"/>
              <w:right w:val="single" w:sz="4" w:space="0" w:color="auto"/>
            </w:tcBorders>
            <w:shd w:val="clear" w:color="auto" w:fill="auto"/>
            <w:noWrap/>
            <w:vAlign w:val="center"/>
            <w:hideMark/>
          </w:tcPr>
          <w:p w14:paraId="33E4376A" w14:textId="77777777" w:rsidR="00D0022A" w:rsidRPr="00D52B0A" w:rsidRDefault="00D0022A" w:rsidP="00AA57FF">
            <w:pPr>
              <w:rPr>
                <w:lang w:eastAsia="en-AU"/>
              </w:rPr>
            </w:pPr>
            <w:r w:rsidRPr="00D52B0A">
              <w:rPr>
                <w:lang w:eastAsia="en-AU"/>
              </w:rPr>
              <w:t>39</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552EAD15" w14:textId="77777777" w:rsidR="00D0022A" w:rsidRPr="00D52B0A" w:rsidRDefault="00D0022A" w:rsidP="00AA57FF">
            <w:pPr>
              <w:rPr>
                <w:lang w:eastAsia="en-AU"/>
              </w:rPr>
            </w:pPr>
            <w:r w:rsidRPr="00D52B0A">
              <w:rPr>
                <w:lang w:eastAsia="en-AU"/>
              </w:rPr>
              <w:t>24</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7AB2D4B8" w14:textId="77777777" w:rsidR="00D0022A" w:rsidRPr="00D52B0A" w:rsidRDefault="00D0022A" w:rsidP="00AA57FF">
            <w:pPr>
              <w:rPr>
                <w:lang w:eastAsia="en-AU"/>
              </w:rPr>
            </w:pPr>
            <w:r w:rsidRPr="00D52B0A">
              <w:rPr>
                <w:lang w:eastAsia="en-AU"/>
              </w:rPr>
              <w:t>34</w:t>
            </w:r>
            <w:r>
              <w:rPr>
                <w:lang w:eastAsia="en-AU"/>
              </w:rPr>
              <w:t xml:space="preserve"> per cent</w:t>
            </w:r>
          </w:p>
        </w:tc>
      </w:tr>
      <w:tr w:rsidR="00D0022A" w:rsidRPr="00D52B0A" w14:paraId="0376243F"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D86C90" w14:textId="77777777" w:rsidR="00D0022A" w:rsidRPr="00D52B0A" w:rsidRDefault="00D0022A" w:rsidP="00AA57FF">
            <w:pPr>
              <w:rPr>
                <w:lang w:eastAsia="en-AU"/>
              </w:rPr>
            </w:pPr>
            <w:r w:rsidRPr="00D52B0A">
              <w:rPr>
                <w:lang w:eastAsia="en-AU"/>
              </w:rPr>
              <w:t>2021</w:t>
            </w:r>
          </w:p>
        </w:tc>
        <w:tc>
          <w:tcPr>
            <w:tcW w:w="2410" w:type="dxa"/>
            <w:tcBorders>
              <w:top w:val="nil"/>
              <w:left w:val="nil"/>
              <w:bottom w:val="single" w:sz="4" w:space="0" w:color="auto"/>
              <w:right w:val="single" w:sz="4" w:space="0" w:color="auto"/>
            </w:tcBorders>
            <w:shd w:val="clear" w:color="auto" w:fill="auto"/>
            <w:noWrap/>
            <w:vAlign w:val="center"/>
            <w:hideMark/>
          </w:tcPr>
          <w:p w14:paraId="5AC98BCE" w14:textId="77777777" w:rsidR="00D0022A" w:rsidRPr="00D52B0A" w:rsidRDefault="00D0022A" w:rsidP="00AA57FF">
            <w:pPr>
              <w:rPr>
                <w:lang w:eastAsia="en-AU"/>
              </w:rPr>
            </w:pPr>
            <w:r w:rsidRPr="00D52B0A">
              <w:rPr>
                <w:lang w:eastAsia="en-AU"/>
              </w:rPr>
              <w:t>31</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01054039" w14:textId="77777777" w:rsidR="00D0022A" w:rsidRPr="00D52B0A" w:rsidRDefault="00D0022A" w:rsidP="00AA57FF">
            <w:pPr>
              <w:rPr>
                <w:lang w:eastAsia="en-AU"/>
              </w:rPr>
            </w:pPr>
            <w:r w:rsidRPr="00D52B0A">
              <w:rPr>
                <w:lang w:eastAsia="en-AU"/>
              </w:rPr>
              <w:t>34</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417D6AC7" w14:textId="77777777" w:rsidR="00D0022A" w:rsidRPr="00D52B0A" w:rsidRDefault="00D0022A" w:rsidP="00AA57FF">
            <w:pPr>
              <w:rPr>
                <w:lang w:eastAsia="en-AU"/>
              </w:rPr>
            </w:pPr>
            <w:r w:rsidRPr="00D52B0A">
              <w:rPr>
                <w:lang w:eastAsia="en-AU"/>
              </w:rPr>
              <w:t>34</w:t>
            </w:r>
            <w:r>
              <w:rPr>
                <w:lang w:eastAsia="en-AU"/>
              </w:rPr>
              <w:t xml:space="preserve"> per cent</w:t>
            </w:r>
          </w:p>
        </w:tc>
      </w:tr>
      <w:tr w:rsidR="00D0022A" w:rsidRPr="00D52B0A" w14:paraId="7A27DA49"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6593C8E" w14:textId="77777777" w:rsidR="00D0022A" w:rsidRPr="00D52B0A" w:rsidRDefault="00D0022A" w:rsidP="00AA57FF">
            <w:pPr>
              <w:rPr>
                <w:lang w:eastAsia="en-AU"/>
              </w:rPr>
            </w:pPr>
            <w:r w:rsidRPr="00D52B0A">
              <w:rPr>
                <w:lang w:eastAsia="en-AU"/>
              </w:rPr>
              <w:lastRenderedPageBreak/>
              <w:t>2022</w:t>
            </w:r>
          </w:p>
        </w:tc>
        <w:tc>
          <w:tcPr>
            <w:tcW w:w="2410" w:type="dxa"/>
            <w:tcBorders>
              <w:top w:val="nil"/>
              <w:left w:val="nil"/>
              <w:bottom w:val="single" w:sz="4" w:space="0" w:color="auto"/>
              <w:right w:val="single" w:sz="4" w:space="0" w:color="auto"/>
            </w:tcBorders>
            <w:shd w:val="clear" w:color="auto" w:fill="auto"/>
            <w:noWrap/>
            <w:vAlign w:val="center"/>
            <w:hideMark/>
          </w:tcPr>
          <w:p w14:paraId="08751238" w14:textId="77777777" w:rsidR="00D0022A" w:rsidRPr="00D52B0A" w:rsidRDefault="00D0022A" w:rsidP="00AA57FF">
            <w:pPr>
              <w:rPr>
                <w:lang w:eastAsia="en-AU"/>
              </w:rPr>
            </w:pPr>
            <w:r w:rsidRPr="00D52B0A">
              <w:rPr>
                <w:lang w:eastAsia="en-AU"/>
              </w:rPr>
              <w:t>42</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0E48A0C6" w14:textId="77777777" w:rsidR="00D0022A" w:rsidRPr="00D52B0A" w:rsidRDefault="00D0022A" w:rsidP="00AA57FF">
            <w:pPr>
              <w:rPr>
                <w:lang w:eastAsia="en-AU"/>
              </w:rPr>
            </w:pPr>
            <w:r w:rsidRPr="00D52B0A">
              <w:rPr>
                <w:lang w:eastAsia="en-AU"/>
              </w:rPr>
              <w:t>22</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134C88C6" w14:textId="77777777" w:rsidR="00D0022A" w:rsidRPr="00D52B0A" w:rsidRDefault="00D0022A" w:rsidP="00AA57FF">
            <w:pPr>
              <w:rPr>
                <w:lang w:eastAsia="en-AU"/>
              </w:rPr>
            </w:pPr>
            <w:r w:rsidRPr="00D52B0A">
              <w:rPr>
                <w:lang w:eastAsia="en-AU"/>
              </w:rPr>
              <w:t>36</w:t>
            </w:r>
            <w:r>
              <w:rPr>
                <w:lang w:eastAsia="en-AU"/>
              </w:rPr>
              <w:t xml:space="preserve"> per cent</w:t>
            </w:r>
          </w:p>
        </w:tc>
      </w:tr>
      <w:tr w:rsidR="00D0022A" w:rsidRPr="00D52B0A" w14:paraId="66982CDB"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5EE11DC" w14:textId="77777777" w:rsidR="00D0022A" w:rsidRPr="00D52B0A" w:rsidRDefault="00D0022A" w:rsidP="00AA57FF">
            <w:pPr>
              <w:rPr>
                <w:lang w:eastAsia="en-AU"/>
              </w:rPr>
            </w:pPr>
            <w:r w:rsidRPr="00D52B0A">
              <w:rPr>
                <w:lang w:eastAsia="en-AU"/>
              </w:rPr>
              <w:t>2023</w:t>
            </w:r>
          </w:p>
        </w:tc>
        <w:tc>
          <w:tcPr>
            <w:tcW w:w="2410" w:type="dxa"/>
            <w:tcBorders>
              <w:top w:val="nil"/>
              <w:left w:val="nil"/>
              <w:bottom w:val="single" w:sz="4" w:space="0" w:color="auto"/>
              <w:right w:val="single" w:sz="4" w:space="0" w:color="auto"/>
            </w:tcBorders>
            <w:shd w:val="clear" w:color="auto" w:fill="auto"/>
            <w:noWrap/>
            <w:vAlign w:val="center"/>
            <w:hideMark/>
          </w:tcPr>
          <w:p w14:paraId="79302220" w14:textId="77777777" w:rsidR="00D0022A" w:rsidRPr="00D52B0A" w:rsidRDefault="00D0022A" w:rsidP="00AA57FF">
            <w:pPr>
              <w:rPr>
                <w:lang w:eastAsia="en-AU"/>
              </w:rPr>
            </w:pPr>
            <w:r w:rsidRPr="00D52B0A">
              <w:rPr>
                <w:lang w:eastAsia="en-AU"/>
              </w:rPr>
              <w:t>29</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469A1378" w14:textId="77777777" w:rsidR="00D0022A" w:rsidRPr="00D52B0A" w:rsidRDefault="00D0022A" w:rsidP="00AA57FF">
            <w:pPr>
              <w:rPr>
                <w:lang w:eastAsia="en-AU"/>
              </w:rPr>
            </w:pPr>
            <w:r w:rsidRPr="00D52B0A">
              <w:rPr>
                <w:lang w:eastAsia="en-AU"/>
              </w:rPr>
              <w:t>32</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1FE9C786" w14:textId="77777777" w:rsidR="00D0022A" w:rsidRPr="00D52B0A" w:rsidRDefault="00D0022A" w:rsidP="00AA57FF">
            <w:pPr>
              <w:rPr>
                <w:lang w:eastAsia="en-AU"/>
              </w:rPr>
            </w:pPr>
            <w:r w:rsidRPr="00D52B0A">
              <w:rPr>
                <w:lang w:eastAsia="en-AU"/>
              </w:rPr>
              <w:t>39</w:t>
            </w:r>
            <w:r>
              <w:rPr>
                <w:lang w:eastAsia="en-AU"/>
              </w:rPr>
              <w:t xml:space="preserve"> per cent</w:t>
            </w:r>
          </w:p>
        </w:tc>
      </w:tr>
      <w:tr w:rsidR="00D0022A" w:rsidRPr="00D52B0A" w14:paraId="346D95D1" w14:textId="77777777" w:rsidTr="007D16A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6FDAAD7" w14:textId="77777777" w:rsidR="00D0022A" w:rsidRPr="00D52B0A" w:rsidRDefault="00D0022A" w:rsidP="00AA57FF">
            <w:pPr>
              <w:rPr>
                <w:lang w:eastAsia="en-AU"/>
              </w:rPr>
            </w:pPr>
            <w:r w:rsidRPr="00D52B0A">
              <w:rPr>
                <w:lang w:eastAsia="en-AU"/>
              </w:rPr>
              <w:t>2024</w:t>
            </w:r>
          </w:p>
        </w:tc>
        <w:tc>
          <w:tcPr>
            <w:tcW w:w="2410" w:type="dxa"/>
            <w:tcBorders>
              <w:top w:val="nil"/>
              <w:left w:val="nil"/>
              <w:bottom w:val="single" w:sz="4" w:space="0" w:color="auto"/>
              <w:right w:val="single" w:sz="4" w:space="0" w:color="auto"/>
            </w:tcBorders>
            <w:shd w:val="clear" w:color="auto" w:fill="auto"/>
            <w:noWrap/>
            <w:vAlign w:val="center"/>
            <w:hideMark/>
          </w:tcPr>
          <w:p w14:paraId="7C8FFFC6" w14:textId="77777777" w:rsidR="00D0022A" w:rsidRPr="00D52B0A" w:rsidRDefault="00D0022A" w:rsidP="00AA57FF">
            <w:pPr>
              <w:rPr>
                <w:lang w:eastAsia="en-AU"/>
              </w:rPr>
            </w:pPr>
            <w:r w:rsidRPr="00D52B0A">
              <w:rPr>
                <w:lang w:eastAsia="en-AU"/>
              </w:rPr>
              <w:t>50</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3B5450EE" w14:textId="77777777" w:rsidR="00D0022A" w:rsidRPr="00D52B0A" w:rsidRDefault="00D0022A" w:rsidP="00AA57FF">
            <w:pPr>
              <w:rPr>
                <w:lang w:eastAsia="en-AU"/>
              </w:rPr>
            </w:pPr>
            <w:r w:rsidRPr="00D52B0A">
              <w:rPr>
                <w:lang w:eastAsia="en-AU"/>
              </w:rPr>
              <w:t>19</w:t>
            </w:r>
            <w:r>
              <w:rPr>
                <w:lang w:eastAsia="en-AU"/>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2CB199FF" w14:textId="77777777" w:rsidR="00D0022A" w:rsidRPr="00D52B0A" w:rsidRDefault="00D0022A" w:rsidP="00AA57FF">
            <w:pPr>
              <w:rPr>
                <w:lang w:eastAsia="en-AU"/>
              </w:rPr>
            </w:pPr>
            <w:r w:rsidRPr="00D52B0A">
              <w:rPr>
                <w:lang w:eastAsia="en-AU"/>
              </w:rPr>
              <w:t>31</w:t>
            </w:r>
            <w:r>
              <w:rPr>
                <w:lang w:eastAsia="en-AU"/>
              </w:rPr>
              <w:t xml:space="preserve"> per cent</w:t>
            </w:r>
          </w:p>
        </w:tc>
      </w:tr>
    </w:tbl>
    <w:p w14:paraId="6B194605" w14:textId="0FF72CE3" w:rsidR="00D0022A" w:rsidRDefault="00D0022A" w:rsidP="00D0022A">
      <w:pPr>
        <w:pStyle w:val="Caption"/>
      </w:pPr>
      <w:bookmarkStart w:id="135" w:name="_Ref184225311"/>
      <w:bookmarkEnd w:id="133"/>
      <w:r w:rsidRPr="007D16AD">
        <w:rPr>
          <w:b/>
          <w:bCs/>
        </w:rPr>
        <w:t xml:space="preserve">Table </w:t>
      </w:r>
      <w:r w:rsidRPr="007D16AD">
        <w:rPr>
          <w:b/>
          <w:bCs/>
        </w:rPr>
        <w:fldChar w:fldCharType="begin"/>
      </w:r>
      <w:r w:rsidRPr="007D16AD">
        <w:rPr>
          <w:b/>
          <w:bCs/>
        </w:rPr>
        <w:instrText xml:space="preserve"> SEQ Table \* ARABIC </w:instrText>
      </w:r>
      <w:r w:rsidRPr="007D16AD">
        <w:rPr>
          <w:b/>
          <w:bCs/>
        </w:rPr>
        <w:fldChar w:fldCharType="separate"/>
      </w:r>
      <w:r w:rsidR="00DC68AF" w:rsidRPr="007D16AD">
        <w:rPr>
          <w:b/>
          <w:bCs/>
          <w:noProof/>
        </w:rPr>
        <w:t>35</w:t>
      </w:r>
      <w:r w:rsidRPr="007D16AD">
        <w:rPr>
          <w:b/>
          <w:bCs/>
        </w:rPr>
        <w:fldChar w:fldCharType="end"/>
      </w:r>
      <w:bookmarkEnd w:id="135"/>
      <w:r w:rsidRPr="007D16AD">
        <w:t xml:space="preserve"> Our organisation can provide the support required for individuals under the NDIS pricing arrangement</w:t>
      </w:r>
    </w:p>
    <w:tbl>
      <w:tblPr>
        <w:tblW w:w="8926" w:type="dxa"/>
        <w:tblLook w:val="04A0" w:firstRow="1" w:lastRow="0" w:firstColumn="1" w:lastColumn="0" w:noHBand="0" w:noVBand="1"/>
        <w:tblCaption w:val="Table 35 Our organisation can provide the support required for individuals under the NDIS pricing arrangement"/>
        <w:tblDescription w:val="A table showing respondents who agree or disagree with the statement that their organisation can provide the support required for individuals under the NDIS pricing arrangements. Trend data from 2020 to 2024. "/>
      </w:tblPr>
      <w:tblGrid>
        <w:gridCol w:w="1129"/>
        <w:gridCol w:w="2268"/>
        <w:gridCol w:w="1985"/>
        <w:gridCol w:w="1984"/>
        <w:gridCol w:w="1560"/>
      </w:tblGrid>
      <w:tr w:rsidR="00D0022A" w:rsidRPr="00AA57FF" w14:paraId="58C2ED23" w14:textId="77777777" w:rsidTr="007D16AD">
        <w:trPr>
          <w:trHeight w:val="307"/>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A01884" w14:textId="77777777" w:rsidR="00D0022A" w:rsidRPr="00AA57FF" w:rsidRDefault="00D0022A" w:rsidP="00AA57FF">
            <w:pPr>
              <w:rPr>
                <w:b/>
                <w:bCs/>
                <w:lang w:eastAsia="en-AU"/>
              </w:rPr>
            </w:pPr>
            <w:r w:rsidRPr="00AA57FF">
              <w:rPr>
                <w:b/>
                <w:bCs/>
                <w:lang w:eastAsia="en-AU"/>
              </w:rPr>
              <w:t>Yea</w:t>
            </w:r>
            <w:bookmarkStart w:id="136" w:name="Title_Table_35"/>
            <w:bookmarkEnd w:id="136"/>
            <w:r w:rsidRPr="00AA57FF">
              <w:rPr>
                <w:b/>
                <w:bCs/>
                <w:lang w:eastAsia="en-AU"/>
              </w:rPr>
              <w:t>r</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6FD94C9A" w14:textId="77777777" w:rsidR="00D0022A" w:rsidRPr="00AA57FF" w:rsidRDefault="00D0022A" w:rsidP="00AA57FF">
            <w:pPr>
              <w:rPr>
                <w:b/>
                <w:bCs/>
                <w:lang w:eastAsia="en-AU"/>
              </w:rPr>
            </w:pPr>
            <w:r w:rsidRPr="00AA57FF">
              <w:rPr>
                <w:b/>
                <w:bCs/>
                <w:lang w:eastAsia="en-AU"/>
              </w:rPr>
              <w:t>Disagree or strongly disagree</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14:paraId="7E5CA92D" w14:textId="77777777" w:rsidR="00D0022A" w:rsidRPr="00AA57FF" w:rsidRDefault="00D0022A" w:rsidP="00AA57FF">
            <w:pPr>
              <w:rPr>
                <w:b/>
                <w:bCs/>
                <w:lang w:eastAsia="en-AU"/>
              </w:rPr>
            </w:pPr>
            <w:r w:rsidRPr="00AA57FF">
              <w:rPr>
                <w:b/>
                <w:bCs/>
                <w:lang w:eastAsia="en-AU"/>
              </w:rPr>
              <w:t>Neither agree nor disagree</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43D31FA7" w14:textId="77777777" w:rsidR="00D0022A" w:rsidRPr="00AA57FF" w:rsidRDefault="00D0022A" w:rsidP="00AA57FF">
            <w:pPr>
              <w:rPr>
                <w:b/>
                <w:bCs/>
                <w:lang w:eastAsia="en-AU"/>
              </w:rPr>
            </w:pPr>
            <w:r w:rsidRPr="00AA57FF">
              <w:rPr>
                <w:b/>
                <w:bCs/>
                <w:lang w:eastAsia="en-AU"/>
              </w:rPr>
              <w:t>Agree or strongly agree</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157230B3" w14:textId="77777777" w:rsidR="00D0022A" w:rsidRPr="00AA57FF" w:rsidRDefault="00D0022A" w:rsidP="00AA57FF">
            <w:pPr>
              <w:rPr>
                <w:b/>
                <w:bCs/>
                <w:lang w:eastAsia="en-AU"/>
              </w:rPr>
            </w:pPr>
            <w:r w:rsidRPr="00AA57FF">
              <w:rPr>
                <w:b/>
                <w:bCs/>
                <w:lang w:eastAsia="en-AU"/>
              </w:rPr>
              <w:t>Don't know</w:t>
            </w:r>
          </w:p>
        </w:tc>
      </w:tr>
      <w:tr w:rsidR="00D0022A" w:rsidRPr="007B723B" w14:paraId="030ED75B"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91034B3" w14:textId="77777777" w:rsidR="00D0022A" w:rsidRPr="007B723B" w:rsidRDefault="00D0022A" w:rsidP="00AA57FF">
            <w:pPr>
              <w:rPr>
                <w:lang w:eastAsia="en-AU"/>
              </w:rPr>
            </w:pPr>
            <w:r w:rsidRPr="007B723B">
              <w:rPr>
                <w:lang w:eastAsia="en-AU"/>
              </w:rPr>
              <w:t>2020</w:t>
            </w:r>
          </w:p>
        </w:tc>
        <w:tc>
          <w:tcPr>
            <w:tcW w:w="2268" w:type="dxa"/>
            <w:tcBorders>
              <w:top w:val="nil"/>
              <w:left w:val="nil"/>
              <w:bottom w:val="single" w:sz="4" w:space="0" w:color="auto"/>
              <w:right w:val="single" w:sz="4" w:space="0" w:color="auto"/>
            </w:tcBorders>
            <w:shd w:val="clear" w:color="auto" w:fill="auto"/>
            <w:noWrap/>
            <w:vAlign w:val="center"/>
            <w:hideMark/>
          </w:tcPr>
          <w:p w14:paraId="0DC2A0D4" w14:textId="77777777" w:rsidR="00D0022A" w:rsidRPr="007B723B" w:rsidRDefault="00D0022A" w:rsidP="00AA57FF">
            <w:pPr>
              <w:rPr>
                <w:lang w:eastAsia="en-AU"/>
              </w:rPr>
            </w:pPr>
            <w:r w:rsidRPr="007B723B">
              <w:rPr>
                <w:lang w:eastAsia="en-AU"/>
              </w:rPr>
              <w:t>30</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7EA0AAC5" w14:textId="77777777" w:rsidR="00D0022A" w:rsidRPr="007B723B" w:rsidRDefault="00D0022A" w:rsidP="00AA57FF">
            <w:pPr>
              <w:rPr>
                <w:lang w:eastAsia="en-AU"/>
              </w:rPr>
            </w:pPr>
            <w:r w:rsidRPr="007B723B">
              <w:rPr>
                <w:lang w:eastAsia="en-AU"/>
              </w:rPr>
              <w:t>18</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74C44BE3" w14:textId="77777777" w:rsidR="00D0022A" w:rsidRPr="007B723B" w:rsidRDefault="00D0022A" w:rsidP="00AA57FF">
            <w:pPr>
              <w:rPr>
                <w:lang w:eastAsia="en-AU"/>
              </w:rPr>
            </w:pPr>
            <w:r w:rsidRPr="007B723B">
              <w:rPr>
                <w:lang w:eastAsia="en-AU"/>
              </w:rPr>
              <w:t>38</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hideMark/>
          </w:tcPr>
          <w:p w14:paraId="29A03B47" w14:textId="77777777" w:rsidR="00D0022A" w:rsidRPr="007B723B" w:rsidRDefault="00D0022A" w:rsidP="00AA57FF">
            <w:pPr>
              <w:rPr>
                <w:lang w:eastAsia="en-AU"/>
              </w:rPr>
            </w:pPr>
            <w:r w:rsidRPr="007B723B">
              <w:rPr>
                <w:lang w:eastAsia="en-AU"/>
              </w:rPr>
              <w:t>13</w:t>
            </w:r>
            <w:r>
              <w:rPr>
                <w:lang w:eastAsia="en-AU"/>
              </w:rPr>
              <w:t xml:space="preserve"> per cent</w:t>
            </w:r>
          </w:p>
        </w:tc>
      </w:tr>
      <w:tr w:rsidR="00D0022A" w:rsidRPr="007B723B" w14:paraId="0A34C674"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687940" w14:textId="77777777" w:rsidR="00D0022A" w:rsidRPr="007B723B" w:rsidRDefault="00D0022A" w:rsidP="00AA57FF">
            <w:pPr>
              <w:rPr>
                <w:lang w:eastAsia="en-AU"/>
              </w:rPr>
            </w:pPr>
            <w:r w:rsidRPr="007B723B">
              <w:rPr>
                <w:lang w:eastAsia="en-AU"/>
              </w:rPr>
              <w:t>2021</w:t>
            </w:r>
          </w:p>
        </w:tc>
        <w:tc>
          <w:tcPr>
            <w:tcW w:w="2268" w:type="dxa"/>
            <w:tcBorders>
              <w:top w:val="nil"/>
              <w:left w:val="nil"/>
              <w:bottom w:val="single" w:sz="4" w:space="0" w:color="auto"/>
              <w:right w:val="single" w:sz="4" w:space="0" w:color="auto"/>
            </w:tcBorders>
            <w:shd w:val="clear" w:color="auto" w:fill="auto"/>
            <w:noWrap/>
            <w:vAlign w:val="center"/>
            <w:hideMark/>
          </w:tcPr>
          <w:p w14:paraId="22007920" w14:textId="77777777" w:rsidR="00D0022A" w:rsidRPr="007B723B" w:rsidRDefault="00D0022A" w:rsidP="00AA57FF">
            <w:pPr>
              <w:rPr>
                <w:lang w:eastAsia="en-AU"/>
              </w:rPr>
            </w:pPr>
            <w:r w:rsidRPr="007B723B">
              <w:rPr>
                <w:lang w:eastAsia="en-AU"/>
              </w:rPr>
              <w:t>29</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0733882F" w14:textId="77777777" w:rsidR="00D0022A" w:rsidRPr="007B723B" w:rsidRDefault="00D0022A" w:rsidP="00AA57FF">
            <w:pPr>
              <w:rPr>
                <w:lang w:eastAsia="en-AU"/>
              </w:rPr>
            </w:pPr>
            <w:r w:rsidRPr="007B723B">
              <w:rPr>
                <w:lang w:eastAsia="en-AU"/>
              </w:rPr>
              <w:t>39</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5EFC3875" w14:textId="77777777" w:rsidR="00D0022A" w:rsidRPr="007B723B" w:rsidRDefault="00D0022A" w:rsidP="00AA57FF">
            <w:pPr>
              <w:rPr>
                <w:lang w:eastAsia="en-AU"/>
              </w:rPr>
            </w:pPr>
            <w:r w:rsidRPr="007B723B">
              <w:rPr>
                <w:lang w:eastAsia="en-AU"/>
              </w:rPr>
              <w:t>33</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0D0EC1FD" w14:textId="77777777" w:rsidR="00D0022A" w:rsidRPr="007B723B" w:rsidRDefault="00D0022A" w:rsidP="00AA57FF">
            <w:pPr>
              <w:rPr>
                <w:lang w:eastAsia="en-AU"/>
              </w:rPr>
            </w:pPr>
            <w:r>
              <w:rPr>
                <w:lang w:eastAsia="en-AU"/>
              </w:rPr>
              <w:t>Not reported</w:t>
            </w:r>
          </w:p>
        </w:tc>
      </w:tr>
      <w:tr w:rsidR="00D0022A" w:rsidRPr="007B723B" w14:paraId="23E584C8"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5AE04D1" w14:textId="77777777" w:rsidR="00D0022A" w:rsidRPr="007B723B" w:rsidRDefault="00D0022A" w:rsidP="00AA57FF">
            <w:pPr>
              <w:rPr>
                <w:lang w:eastAsia="en-AU"/>
              </w:rPr>
            </w:pPr>
            <w:r w:rsidRPr="007B723B">
              <w:rPr>
                <w:lang w:eastAsia="en-AU"/>
              </w:rPr>
              <w:t>2022</w:t>
            </w:r>
          </w:p>
        </w:tc>
        <w:tc>
          <w:tcPr>
            <w:tcW w:w="2268" w:type="dxa"/>
            <w:tcBorders>
              <w:top w:val="nil"/>
              <w:left w:val="nil"/>
              <w:bottom w:val="single" w:sz="4" w:space="0" w:color="auto"/>
              <w:right w:val="single" w:sz="4" w:space="0" w:color="auto"/>
            </w:tcBorders>
            <w:shd w:val="clear" w:color="auto" w:fill="auto"/>
            <w:noWrap/>
            <w:vAlign w:val="center"/>
            <w:hideMark/>
          </w:tcPr>
          <w:p w14:paraId="1FFB9401" w14:textId="77777777" w:rsidR="00D0022A" w:rsidRPr="007B723B" w:rsidRDefault="00D0022A" w:rsidP="00AA57FF">
            <w:pPr>
              <w:rPr>
                <w:lang w:eastAsia="en-AU"/>
              </w:rPr>
            </w:pPr>
            <w:r w:rsidRPr="007B723B">
              <w:rPr>
                <w:lang w:eastAsia="en-AU"/>
              </w:rPr>
              <w:t>34</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1169A82F" w14:textId="77777777" w:rsidR="00D0022A" w:rsidRPr="007B723B" w:rsidRDefault="00D0022A" w:rsidP="00AA57FF">
            <w:pPr>
              <w:rPr>
                <w:lang w:eastAsia="en-AU"/>
              </w:rPr>
            </w:pPr>
            <w:r w:rsidRPr="007B723B">
              <w:rPr>
                <w:lang w:eastAsia="en-AU"/>
              </w:rPr>
              <w:t>21</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1D65C0EF" w14:textId="77777777" w:rsidR="00D0022A" w:rsidRPr="007B723B" w:rsidRDefault="00D0022A" w:rsidP="00AA57FF">
            <w:pPr>
              <w:rPr>
                <w:lang w:eastAsia="en-AU"/>
              </w:rPr>
            </w:pPr>
            <w:r w:rsidRPr="007B723B">
              <w:rPr>
                <w:lang w:eastAsia="en-AU"/>
              </w:rPr>
              <w:t>45</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63A74A98" w14:textId="77777777" w:rsidR="00D0022A" w:rsidRPr="007B723B" w:rsidRDefault="00D0022A" w:rsidP="00AA57FF">
            <w:pPr>
              <w:rPr>
                <w:lang w:eastAsia="en-AU"/>
              </w:rPr>
            </w:pPr>
            <w:r>
              <w:rPr>
                <w:lang w:eastAsia="en-AU"/>
              </w:rPr>
              <w:t>Not reported</w:t>
            </w:r>
          </w:p>
        </w:tc>
      </w:tr>
      <w:tr w:rsidR="00D0022A" w:rsidRPr="007B723B" w14:paraId="2FA7B228"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23C526" w14:textId="77777777" w:rsidR="00D0022A" w:rsidRPr="007B723B" w:rsidRDefault="00D0022A" w:rsidP="00AA57FF">
            <w:pPr>
              <w:rPr>
                <w:lang w:eastAsia="en-AU"/>
              </w:rPr>
            </w:pPr>
            <w:r w:rsidRPr="007B723B">
              <w:rPr>
                <w:lang w:eastAsia="en-AU"/>
              </w:rPr>
              <w:t>2023</w:t>
            </w:r>
          </w:p>
        </w:tc>
        <w:tc>
          <w:tcPr>
            <w:tcW w:w="2268" w:type="dxa"/>
            <w:tcBorders>
              <w:top w:val="nil"/>
              <w:left w:val="nil"/>
              <w:bottom w:val="single" w:sz="4" w:space="0" w:color="auto"/>
              <w:right w:val="single" w:sz="4" w:space="0" w:color="auto"/>
            </w:tcBorders>
            <w:shd w:val="clear" w:color="auto" w:fill="auto"/>
            <w:noWrap/>
            <w:vAlign w:val="center"/>
            <w:hideMark/>
          </w:tcPr>
          <w:p w14:paraId="724F0A22" w14:textId="77777777" w:rsidR="00D0022A" w:rsidRPr="007B723B" w:rsidRDefault="00D0022A" w:rsidP="00AA57FF">
            <w:pPr>
              <w:rPr>
                <w:lang w:eastAsia="en-AU"/>
              </w:rPr>
            </w:pPr>
            <w:r w:rsidRPr="007B723B">
              <w:rPr>
                <w:lang w:eastAsia="en-AU"/>
              </w:rPr>
              <w:t>36</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5D44B78E" w14:textId="77777777" w:rsidR="00D0022A" w:rsidRPr="007B723B" w:rsidRDefault="00D0022A" w:rsidP="00AA57FF">
            <w:pPr>
              <w:rPr>
                <w:lang w:eastAsia="en-AU"/>
              </w:rPr>
            </w:pPr>
            <w:r w:rsidRPr="007B723B">
              <w:rPr>
                <w:lang w:eastAsia="en-AU"/>
              </w:rPr>
              <w:t>16</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3042B082" w14:textId="77777777" w:rsidR="00D0022A" w:rsidRPr="007B723B" w:rsidRDefault="00D0022A" w:rsidP="00AA57FF">
            <w:pPr>
              <w:rPr>
                <w:lang w:eastAsia="en-AU"/>
              </w:rPr>
            </w:pPr>
            <w:r w:rsidRPr="007B723B">
              <w:rPr>
                <w:lang w:eastAsia="en-AU"/>
              </w:rPr>
              <w:t>48</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097A309D" w14:textId="77777777" w:rsidR="00D0022A" w:rsidRPr="007B723B" w:rsidRDefault="00D0022A" w:rsidP="00AA57FF">
            <w:pPr>
              <w:rPr>
                <w:lang w:eastAsia="en-AU"/>
              </w:rPr>
            </w:pPr>
            <w:r>
              <w:rPr>
                <w:lang w:eastAsia="en-AU"/>
              </w:rPr>
              <w:t>Not reported</w:t>
            </w:r>
          </w:p>
        </w:tc>
      </w:tr>
      <w:tr w:rsidR="00D0022A" w:rsidRPr="007B723B" w14:paraId="1210AECC"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F6A6812" w14:textId="77777777" w:rsidR="00D0022A" w:rsidRPr="007B723B" w:rsidRDefault="00D0022A" w:rsidP="00AA57FF">
            <w:pPr>
              <w:rPr>
                <w:lang w:eastAsia="en-AU"/>
              </w:rPr>
            </w:pPr>
            <w:r w:rsidRPr="007B723B">
              <w:rPr>
                <w:lang w:eastAsia="en-AU"/>
              </w:rPr>
              <w:t>2024</w:t>
            </w:r>
          </w:p>
        </w:tc>
        <w:tc>
          <w:tcPr>
            <w:tcW w:w="2268" w:type="dxa"/>
            <w:tcBorders>
              <w:top w:val="nil"/>
              <w:left w:val="nil"/>
              <w:bottom w:val="single" w:sz="4" w:space="0" w:color="auto"/>
              <w:right w:val="single" w:sz="4" w:space="0" w:color="auto"/>
            </w:tcBorders>
            <w:shd w:val="clear" w:color="auto" w:fill="auto"/>
            <w:noWrap/>
            <w:vAlign w:val="center"/>
            <w:hideMark/>
          </w:tcPr>
          <w:p w14:paraId="40275594" w14:textId="77777777" w:rsidR="00D0022A" w:rsidRPr="007B723B" w:rsidRDefault="00D0022A" w:rsidP="00AA57FF">
            <w:pPr>
              <w:rPr>
                <w:lang w:eastAsia="en-AU"/>
              </w:rPr>
            </w:pPr>
            <w:r w:rsidRPr="007B723B">
              <w:rPr>
                <w:lang w:eastAsia="en-AU"/>
              </w:rPr>
              <w:t>71</w:t>
            </w:r>
            <w:r>
              <w:rPr>
                <w:lang w:eastAsia="en-AU"/>
              </w:rPr>
              <w:t xml:space="preserve"> per cent</w:t>
            </w:r>
          </w:p>
        </w:tc>
        <w:tc>
          <w:tcPr>
            <w:tcW w:w="1985" w:type="dxa"/>
            <w:tcBorders>
              <w:top w:val="nil"/>
              <w:left w:val="nil"/>
              <w:bottom w:val="single" w:sz="4" w:space="0" w:color="auto"/>
              <w:right w:val="single" w:sz="4" w:space="0" w:color="auto"/>
            </w:tcBorders>
            <w:shd w:val="clear" w:color="auto" w:fill="auto"/>
            <w:noWrap/>
            <w:vAlign w:val="center"/>
            <w:hideMark/>
          </w:tcPr>
          <w:p w14:paraId="400ADCD7" w14:textId="77777777" w:rsidR="00D0022A" w:rsidRPr="007B723B" w:rsidRDefault="00D0022A" w:rsidP="00AA57FF">
            <w:pPr>
              <w:rPr>
                <w:lang w:eastAsia="en-AU"/>
              </w:rPr>
            </w:pPr>
            <w:r w:rsidRPr="007B723B">
              <w:rPr>
                <w:lang w:eastAsia="en-AU"/>
              </w:rPr>
              <w:t>8</w:t>
            </w:r>
            <w:r>
              <w:rPr>
                <w:lang w:eastAsia="en-AU"/>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7BC70848" w14:textId="77777777" w:rsidR="00D0022A" w:rsidRPr="007B723B" w:rsidRDefault="00D0022A" w:rsidP="00AA57FF">
            <w:pPr>
              <w:rPr>
                <w:lang w:eastAsia="en-AU"/>
              </w:rPr>
            </w:pPr>
            <w:r w:rsidRPr="007B723B">
              <w:rPr>
                <w:lang w:eastAsia="en-AU"/>
              </w:rPr>
              <w:t>21</w:t>
            </w:r>
            <w:r>
              <w:rPr>
                <w:lang w:eastAsia="en-AU"/>
              </w:rPr>
              <w:t xml:space="preserve"> per cent</w:t>
            </w:r>
          </w:p>
        </w:tc>
        <w:tc>
          <w:tcPr>
            <w:tcW w:w="1560" w:type="dxa"/>
            <w:tcBorders>
              <w:top w:val="nil"/>
              <w:left w:val="nil"/>
              <w:bottom w:val="single" w:sz="4" w:space="0" w:color="auto"/>
              <w:right w:val="single" w:sz="4" w:space="0" w:color="auto"/>
            </w:tcBorders>
            <w:shd w:val="clear" w:color="auto" w:fill="auto"/>
            <w:noWrap/>
            <w:vAlign w:val="center"/>
          </w:tcPr>
          <w:p w14:paraId="1D95ACBE" w14:textId="77777777" w:rsidR="00D0022A" w:rsidRPr="007B723B" w:rsidRDefault="00D0022A" w:rsidP="00AA57FF">
            <w:pPr>
              <w:rPr>
                <w:lang w:eastAsia="en-AU"/>
              </w:rPr>
            </w:pPr>
            <w:r>
              <w:rPr>
                <w:lang w:eastAsia="en-AU"/>
              </w:rPr>
              <w:t>Not reported</w:t>
            </w:r>
          </w:p>
        </w:tc>
      </w:tr>
    </w:tbl>
    <w:p w14:paraId="1A8BD323" w14:textId="77777777" w:rsidR="004316F3" w:rsidRDefault="00722D99" w:rsidP="00D0022A">
      <w:pPr>
        <w:spacing w:before="360"/>
        <w:rPr>
          <w:color w:val="000000" w:themeColor="text1"/>
          <w:lang w:val="en-US"/>
        </w:rPr>
      </w:pPr>
      <w:r>
        <w:t>In their open-text responses on the operating environment for supported employment services, several respondents raised issues about the NDIS pricing structure and other policy-related challenges:</w:t>
      </w:r>
    </w:p>
    <w:p w14:paraId="58FFB3EA" w14:textId="756ABAC3" w:rsidR="00722D99" w:rsidRPr="00E21061" w:rsidRDefault="00722D99" w:rsidP="0068282F">
      <w:pPr>
        <w:pStyle w:val="Quote"/>
        <w:rPr>
          <w:lang w:val="en-US"/>
        </w:rPr>
      </w:pPr>
      <w:r w:rsidRPr="644B5232">
        <w:t>“Our Supported Employment Enterprises scrape by with NDIS pricing.”</w:t>
      </w:r>
    </w:p>
    <w:p w14:paraId="1C6AA393" w14:textId="77777777" w:rsidR="004316F3" w:rsidRDefault="00722D99" w:rsidP="0068282F">
      <w:pPr>
        <w:pStyle w:val="QuoteAuthor"/>
        <w:rPr>
          <w:lang w:val="en-US"/>
        </w:rPr>
      </w:pPr>
      <w:r w:rsidRPr="6766CE18">
        <w:t>Vic</w:t>
      </w:r>
      <w:r w:rsidRPr="644B5232">
        <w:t xml:space="preserve"> medium not-for-profit</w:t>
      </w:r>
    </w:p>
    <w:p w14:paraId="094968B3" w14:textId="012FA8C8" w:rsidR="00722D99" w:rsidRPr="00E21061" w:rsidRDefault="00722D99" w:rsidP="0068282F">
      <w:pPr>
        <w:pStyle w:val="Quote"/>
        <w:rPr>
          <w:lang w:val="en-US"/>
        </w:rPr>
      </w:pPr>
      <w:r w:rsidRPr="644B5232">
        <w:t xml:space="preserve">“The ongoing tightening of operational overheads driven by the </w:t>
      </w:r>
      <w:proofErr w:type="gramStart"/>
      <w:r w:rsidRPr="644B5232">
        <w:t>NDIS</w:t>
      </w:r>
      <w:proofErr w:type="gramEnd"/>
      <w:r w:rsidRPr="644B5232">
        <w:t xml:space="preserve"> pricing structure is creating a race to the bottom and aside from reducing the level of quality in service delivery, it will lead to several organisations like ours closing or being merged with larger providers with less local connection and value.”</w:t>
      </w:r>
    </w:p>
    <w:p w14:paraId="492DB73C" w14:textId="77777777" w:rsidR="004316F3" w:rsidRDefault="00722D99" w:rsidP="0068282F">
      <w:pPr>
        <w:pStyle w:val="QuoteAuthor"/>
        <w:rPr>
          <w:lang w:val="en-US"/>
        </w:rPr>
      </w:pPr>
      <w:r w:rsidRPr="644B5232">
        <w:t>NSW medium not-for-profit</w:t>
      </w:r>
    </w:p>
    <w:p w14:paraId="0E2F5950" w14:textId="42120A9B" w:rsidR="00722D99" w:rsidRPr="00E21061" w:rsidRDefault="00722D99" w:rsidP="0068282F">
      <w:pPr>
        <w:pStyle w:val="Quote"/>
        <w:rPr>
          <w:lang w:val="en-US"/>
        </w:rPr>
      </w:pPr>
      <w:r w:rsidRPr="28DCED7E">
        <w:t xml:space="preserve">“The lack of cohesion amongst the (Disability Royal) Commissioners and now government on how to progress a vision for the supported employment sector will </w:t>
      </w:r>
      <w:r w:rsidRPr="28DCED7E">
        <w:lastRenderedPageBreak/>
        <w:t>ultimately lead to contraction in investment as not for profits place funds, focus and energy into more certain service areas.”</w:t>
      </w:r>
    </w:p>
    <w:p w14:paraId="564A15BF" w14:textId="77777777" w:rsidR="004316F3" w:rsidRDefault="00722D99" w:rsidP="0068282F">
      <w:pPr>
        <w:pStyle w:val="QuoteAuthor"/>
        <w:rPr>
          <w:lang w:val="en-US"/>
        </w:rPr>
      </w:pPr>
      <w:r w:rsidRPr="71DF40DC">
        <w:t>Vic</w:t>
      </w:r>
      <w:r w:rsidRPr="644B5232">
        <w:t xml:space="preserve"> large not-for-profit</w:t>
      </w:r>
    </w:p>
    <w:p w14:paraId="4B6BC0D4" w14:textId="77777777" w:rsidR="004316F3" w:rsidRDefault="00722D99" w:rsidP="0068282F">
      <w:pPr>
        <w:pStyle w:val="Heading3"/>
      </w:pPr>
      <w:r w:rsidRPr="0057377C">
        <w:t>Wages in supported employment</w:t>
      </w:r>
    </w:p>
    <w:p w14:paraId="1FE89572" w14:textId="77777777" w:rsidR="004316F3" w:rsidRDefault="00722D99" w:rsidP="0097062A">
      <w:r>
        <w:t>The new wages structure in the Supported Employment Services Award (SESA) has been in place for a year. In response, supported employment services graded employees under the SESA classification structure and commenced the process of arranging Supported Wage System (SWS) assessments. With the help of three members of the National Panel of Assessors (NPA), NDS prepared a practice guide for members on the use of the SWS.</w:t>
      </w:r>
    </w:p>
    <w:p w14:paraId="527EFCC5" w14:textId="77777777" w:rsidR="004316F3" w:rsidRDefault="00722D99" w:rsidP="0097062A">
      <w:r>
        <w:t>The future of wage setting in supported employment remains high on the agenda. On behalf of its Supported Employment Vision Reference Group and in partnership with the Endeavour Foundation, NDS engaged Taylor Fry Consultants to conduct a modelling project examining the state of the supported employment sector and two key wage policy options for supported employees: the benefits and costs of a full wage subsidy model and a social wage model that includes welfare benefits as employee income. The goal of these options is for supported employees to earn near to or the equivalent of the national minimum wage.</w:t>
      </w:r>
    </w:p>
    <w:p w14:paraId="5FB1902C" w14:textId="38B9FF2C" w:rsidR="00722D99" w:rsidRDefault="00722D99" w:rsidP="0097062A">
      <w:pPr>
        <w:rPr>
          <w:color w:val="000000" w:themeColor="text1"/>
          <w:lang w:val="en-US"/>
        </w:rPr>
      </w:pPr>
      <w:r>
        <w:t>Recommendations of the Disability Royal Commission on inclusive employment will be further considered by the government. This means uncertainty for providers on the future</w:t>
      </w:r>
      <w:r w:rsidDel="00FB389D">
        <w:t xml:space="preserve"> </w:t>
      </w:r>
      <w:r>
        <w:t>of wages and work settings in supported employment.</w:t>
      </w:r>
    </w:p>
    <w:p w14:paraId="501DE6A3" w14:textId="77777777" w:rsidR="004316F3" w:rsidRDefault="00722D99" w:rsidP="0097062A">
      <w:r>
        <w:t>The transition and transformation to more inclusive operations and innovative practice to ensure stronger pathways for workers seeking open employment must continue. To support this, the narrative needs to change. The first step should see the outdated term “ADE” retired. This term reflects a past model of funding by government as opposed to the varied and diverse models needed to ensure that all people with disability, including those with high needs have options and pathways to a range of inclusive settings.</w:t>
      </w:r>
    </w:p>
    <w:p w14:paraId="7FD33544" w14:textId="6CB3FDD6" w:rsidR="00722D99" w:rsidRPr="0057377C" w:rsidRDefault="00722D99" w:rsidP="0068282F">
      <w:pPr>
        <w:pStyle w:val="Heading3"/>
      </w:pPr>
      <w:r w:rsidRPr="0057377C">
        <w:lastRenderedPageBreak/>
        <w:t>What’s next?</w:t>
      </w:r>
    </w:p>
    <w:p w14:paraId="64AF7234" w14:textId="77777777" w:rsidR="00722D99" w:rsidRDefault="00722D99" w:rsidP="0097062A">
      <w:r>
        <w:t>NDS is committed to supporting the sector to provide a wider range of employment options for people with disability that meet their needs, ensuring choice and control and enjoyment of the many benefits of meaningful paid work.</w:t>
      </w:r>
    </w:p>
    <w:p w14:paraId="3E86B649" w14:textId="77777777" w:rsidR="004316F3" w:rsidRDefault="00722D99" w:rsidP="0097062A">
      <w:pPr>
        <w:rPr>
          <w:color w:val="000000" w:themeColor="text1"/>
          <w:lang w:val="en-US"/>
        </w:rPr>
      </w:pPr>
      <w:r>
        <w:t>We look forward to greater clarity on the future of supported employment as the government develops responses to the Disability Royal Commission recommendations.</w:t>
      </w:r>
    </w:p>
    <w:p w14:paraId="1C475FD6" w14:textId="51BC43ED" w:rsidR="00722D99" w:rsidRPr="00B227FC" w:rsidRDefault="00722D99" w:rsidP="0097062A">
      <w:pPr>
        <w:pStyle w:val="Heading3"/>
      </w:pPr>
      <w:r>
        <w:t>Disability employment services (DES) operating environment</w:t>
      </w:r>
    </w:p>
    <w:p w14:paraId="17A72684" w14:textId="77777777" w:rsidR="004316F3" w:rsidRDefault="00722D99" w:rsidP="0097062A">
      <w:r>
        <w:t>A range of reviews, including the Disability Royal Commission and Employment White Paper, made clear recommendations to improve DES before the start of the New Specialist Disability Employment Program (NSDEP). Extensive preparatory work is taking place in the lead up to the implementation of the NSDEP from mid-2025.</w:t>
      </w:r>
    </w:p>
    <w:p w14:paraId="6758ABC7" w14:textId="2625EAA3" w:rsidR="00722D99" w:rsidRPr="0057377C" w:rsidRDefault="00722D99" w:rsidP="0097062A">
      <w:pPr>
        <w:pStyle w:val="Heading3"/>
      </w:pPr>
      <w:r w:rsidRPr="0057377C">
        <w:t>Disability employment services survey results</w:t>
      </w:r>
    </w:p>
    <w:p w14:paraId="1BC18F46" w14:textId="77777777" w:rsidR="004316F3" w:rsidRDefault="00722D99" w:rsidP="0097062A">
      <w:r>
        <w:t>Twenty-eight respondents answered questions about Disability Employment Services (DES), which is a similar number to last year. Given that there are policy reforms for the new NSDES on the horizon, we changed questions this year, which means we cannot compare this year’s data to last year’s.</w:t>
      </w:r>
    </w:p>
    <w:p w14:paraId="4767D706" w14:textId="77777777" w:rsidR="004316F3" w:rsidRDefault="00722D99" w:rsidP="0097062A">
      <w:r>
        <w:t>However, attitudes towards the proposed NSDEP program (the new Specialist Disability Employment Program) are pessimistic. Only 39 per cent of respondents believe that the 2025 DES policy reforms are heading in the right direction, while an additional 39 per cent are neutral, and 21 per cent do not believe they are heading in the right direction.</w:t>
      </w:r>
    </w:p>
    <w:p w14:paraId="1CE05FB7" w14:textId="74A110E8" w:rsidR="004316F3" w:rsidRDefault="00722D99" w:rsidP="0097062A">
      <w:r>
        <w:t xml:space="preserve">Very few (seven per cent: two respondents) believe that the NSDEP will reduce administrative burden, while 43 per cent believe it will not reduce burden and 50 per cent were neutral. Only 15 per cent of respondents indicated that they believe the proposed NSDEP funding structure will be an improvement over the current model, </w:t>
      </w:r>
      <w:r>
        <w:lastRenderedPageBreak/>
        <w:t>and 54 per cent believe that the proposed NSDEP model does not have the right incentives to assist a range of people with disability into employment</w:t>
      </w:r>
      <w:r w:rsidR="009D342F">
        <w:t xml:space="preserve"> (see </w:t>
      </w:r>
      <w:r w:rsidR="00275BEA" w:rsidRPr="00275BEA">
        <w:fldChar w:fldCharType="begin"/>
      </w:r>
      <w:r w:rsidR="00275BEA" w:rsidRPr="00275BEA">
        <w:instrText xml:space="preserve"> REF _Ref184225394 \h  \* MERGEFORMAT </w:instrText>
      </w:r>
      <w:r w:rsidR="00275BEA" w:rsidRPr="00275BEA">
        <w:fldChar w:fldCharType="separate"/>
      </w:r>
      <w:r w:rsidR="00275BEA" w:rsidRPr="00275BEA">
        <w:t xml:space="preserve">Table </w:t>
      </w:r>
      <w:r w:rsidR="00275BEA" w:rsidRPr="00275BEA">
        <w:rPr>
          <w:noProof/>
        </w:rPr>
        <w:t>36</w:t>
      </w:r>
      <w:r w:rsidR="00275BEA" w:rsidRPr="00275BEA">
        <w:fldChar w:fldCharType="end"/>
      </w:r>
      <w:r w:rsidR="009D342F">
        <w:t>)</w:t>
      </w:r>
      <w:r>
        <w:t>.</w:t>
      </w:r>
    </w:p>
    <w:p w14:paraId="22A64BEB" w14:textId="49BC7626" w:rsidR="004316F3" w:rsidRDefault="00722D99" w:rsidP="0097062A">
      <w:r>
        <w:t>Attitudes towards the current DES model indicate that nearly half (46 per cent) of respondents believe that the digital service model has not enhanced employment opportunities. Additionally, only 11 per cent of respondents believe that the current DES model allows providers to deliver equitable job support for all people with disability who use these services</w:t>
      </w:r>
      <w:r w:rsidR="009D342F">
        <w:t xml:space="preserve"> (see </w:t>
      </w:r>
      <w:r w:rsidR="00275BEA" w:rsidRPr="00275BEA">
        <w:fldChar w:fldCharType="begin"/>
      </w:r>
      <w:r w:rsidR="00275BEA" w:rsidRPr="00275BEA">
        <w:instrText xml:space="preserve"> REF _Ref184225453 \h  \* MERGEFORMAT </w:instrText>
      </w:r>
      <w:r w:rsidR="00275BEA" w:rsidRPr="00275BEA">
        <w:fldChar w:fldCharType="separate"/>
      </w:r>
      <w:r w:rsidR="00275BEA" w:rsidRPr="00275BEA">
        <w:t xml:space="preserve">Table </w:t>
      </w:r>
      <w:r w:rsidR="00275BEA" w:rsidRPr="00275BEA">
        <w:rPr>
          <w:noProof/>
        </w:rPr>
        <w:t>37</w:t>
      </w:r>
      <w:r w:rsidR="00275BEA" w:rsidRPr="00275BEA">
        <w:fldChar w:fldCharType="end"/>
      </w:r>
      <w:r w:rsidR="009D342F">
        <w:t>)</w:t>
      </w:r>
      <w:r>
        <w:t>. In fact, 61 per cent believe that the model does not allow for equitable support.</w:t>
      </w:r>
    </w:p>
    <w:p w14:paraId="1A4423D8" w14:textId="1BDA2482" w:rsidR="00DC68AF" w:rsidRDefault="00DC68AF" w:rsidP="00DC68AF">
      <w:pPr>
        <w:pStyle w:val="Caption"/>
      </w:pPr>
      <w:bookmarkStart w:id="137" w:name="_Ref184225394"/>
      <w:r w:rsidRPr="00275BEA">
        <w:rPr>
          <w:b/>
          <w:bCs/>
        </w:rPr>
        <w:t xml:space="preserve">Table </w:t>
      </w:r>
      <w:r w:rsidRPr="00275BEA">
        <w:rPr>
          <w:b/>
          <w:bCs/>
        </w:rPr>
        <w:fldChar w:fldCharType="begin"/>
      </w:r>
      <w:r w:rsidRPr="00275BEA">
        <w:rPr>
          <w:b/>
          <w:bCs/>
        </w:rPr>
        <w:instrText xml:space="preserve"> SEQ Table \* ARABIC </w:instrText>
      </w:r>
      <w:r w:rsidRPr="00275BEA">
        <w:rPr>
          <w:b/>
          <w:bCs/>
        </w:rPr>
        <w:fldChar w:fldCharType="separate"/>
      </w:r>
      <w:r w:rsidRPr="00275BEA">
        <w:rPr>
          <w:b/>
          <w:bCs/>
          <w:noProof/>
        </w:rPr>
        <w:t>36</w:t>
      </w:r>
      <w:r w:rsidRPr="00275BEA">
        <w:rPr>
          <w:b/>
          <w:bCs/>
        </w:rPr>
        <w:fldChar w:fldCharType="end"/>
      </w:r>
      <w:bookmarkEnd w:id="137"/>
      <w:r w:rsidRPr="00275BEA">
        <w:t xml:space="preserve"> The digital service model has enhanced employment opportunities for people with disability</w:t>
      </w:r>
    </w:p>
    <w:tbl>
      <w:tblPr>
        <w:tblW w:w="7508" w:type="dxa"/>
        <w:tblLook w:val="04A0" w:firstRow="1" w:lastRow="0" w:firstColumn="1" w:lastColumn="0" w:noHBand="0" w:noVBand="1"/>
        <w:tblCaption w:val="Table 36 The digital service model has enhanced employment opportunities for people with disability"/>
        <w:tblDescription w:val="A table showing respondents who agree or disagree with the statement that the digital service model has enhanced employment opportunities for people with disability. Trend data from 2021 to 20244. "/>
      </w:tblPr>
      <w:tblGrid>
        <w:gridCol w:w="846"/>
        <w:gridCol w:w="2268"/>
        <w:gridCol w:w="1984"/>
        <w:gridCol w:w="2410"/>
      </w:tblGrid>
      <w:tr w:rsidR="00DC68AF" w:rsidRPr="00A41047" w14:paraId="4C3648B9" w14:textId="77777777" w:rsidTr="00275BEA">
        <w:trPr>
          <w:trHeight w:val="307"/>
          <w:tblHeader/>
        </w:trPr>
        <w:tc>
          <w:tcPr>
            <w:tcW w:w="84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18CAD0" w14:textId="77777777" w:rsidR="00DC68AF" w:rsidRPr="00A41047" w:rsidRDefault="00DC68AF" w:rsidP="00726F1E">
            <w:pPr>
              <w:spacing w:after="0" w:line="240" w:lineRule="auto"/>
              <w:rPr>
                <w:rFonts w:eastAsia="Times New Roman"/>
                <w:b/>
                <w:bCs/>
                <w:color w:val="000000"/>
                <w:kern w:val="0"/>
                <w:lang w:eastAsia="en-AU"/>
                <w14:ligatures w14:val="none"/>
              </w:rPr>
            </w:pPr>
            <w:r w:rsidRPr="00A41047">
              <w:rPr>
                <w:rFonts w:eastAsia="Times New Roman"/>
                <w:b/>
                <w:bCs/>
                <w:color w:val="000000"/>
                <w:kern w:val="0"/>
                <w:lang w:eastAsia="en-AU"/>
                <w14:ligatures w14:val="none"/>
              </w:rPr>
              <w:t>Ye</w:t>
            </w:r>
            <w:bookmarkStart w:id="138" w:name="Title_Table_36"/>
            <w:bookmarkEnd w:id="138"/>
            <w:r w:rsidRPr="00A41047">
              <w:rPr>
                <w:rFonts w:eastAsia="Times New Roman"/>
                <w:b/>
                <w:bCs/>
                <w:color w:val="000000"/>
                <w:kern w:val="0"/>
                <w:lang w:eastAsia="en-AU"/>
                <w14:ligatures w14:val="none"/>
              </w:rPr>
              <w:t>ar</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A2949E1" w14:textId="77777777" w:rsidR="00DC68AF" w:rsidRPr="00A41047" w:rsidRDefault="00DC68AF" w:rsidP="00726F1E">
            <w:pPr>
              <w:spacing w:after="0" w:line="240" w:lineRule="auto"/>
              <w:rPr>
                <w:rFonts w:eastAsia="Times New Roman"/>
                <w:b/>
                <w:bCs/>
                <w:color w:val="000000"/>
                <w:kern w:val="0"/>
                <w:lang w:eastAsia="en-AU"/>
                <w14:ligatures w14:val="none"/>
              </w:rPr>
            </w:pPr>
            <w:r w:rsidRPr="00A41047">
              <w:rPr>
                <w:rFonts w:eastAsia="Times New Roman"/>
                <w:b/>
                <w:bCs/>
                <w:color w:val="000000"/>
                <w:kern w:val="0"/>
                <w:lang w:eastAsia="en-AU"/>
                <w14:ligatures w14:val="none"/>
              </w:rPr>
              <w:t>Disagree or strongly disagree</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5D041F0B" w14:textId="77777777" w:rsidR="00DC68AF" w:rsidRPr="00A41047" w:rsidRDefault="00DC68AF" w:rsidP="00726F1E">
            <w:pPr>
              <w:spacing w:after="0" w:line="240" w:lineRule="auto"/>
              <w:rPr>
                <w:rFonts w:eastAsia="Times New Roman"/>
                <w:b/>
                <w:bCs/>
                <w:color w:val="000000"/>
                <w:kern w:val="0"/>
                <w:lang w:eastAsia="en-AU"/>
                <w14:ligatures w14:val="none"/>
              </w:rPr>
            </w:pPr>
            <w:r w:rsidRPr="00A41047">
              <w:rPr>
                <w:rFonts w:eastAsia="Times New Roman"/>
                <w:b/>
                <w:bCs/>
                <w:color w:val="000000"/>
                <w:kern w:val="0"/>
                <w:lang w:eastAsia="en-AU"/>
                <w14:ligatures w14:val="none"/>
              </w:rPr>
              <w:t>Neither agree nor disagree</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0227CED4" w14:textId="77777777" w:rsidR="00DC68AF" w:rsidRPr="00A41047" w:rsidRDefault="00DC68AF" w:rsidP="00726F1E">
            <w:pPr>
              <w:spacing w:after="0" w:line="240" w:lineRule="auto"/>
              <w:rPr>
                <w:rFonts w:eastAsia="Times New Roman"/>
                <w:b/>
                <w:bCs/>
                <w:color w:val="000000"/>
                <w:kern w:val="0"/>
                <w:lang w:eastAsia="en-AU"/>
                <w14:ligatures w14:val="none"/>
              </w:rPr>
            </w:pPr>
            <w:r w:rsidRPr="00A41047">
              <w:rPr>
                <w:rFonts w:eastAsia="Times New Roman"/>
                <w:b/>
                <w:bCs/>
                <w:color w:val="000000"/>
                <w:kern w:val="0"/>
                <w:lang w:eastAsia="en-AU"/>
                <w14:ligatures w14:val="none"/>
              </w:rPr>
              <w:t>Agree or strongly agree</w:t>
            </w:r>
          </w:p>
        </w:tc>
      </w:tr>
      <w:tr w:rsidR="00DC68AF" w:rsidRPr="00A41047" w14:paraId="52AD361B" w14:textId="77777777" w:rsidTr="00726F1E">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90B368"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2021</w:t>
            </w:r>
          </w:p>
        </w:tc>
        <w:tc>
          <w:tcPr>
            <w:tcW w:w="2268" w:type="dxa"/>
            <w:tcBorders>
              <w:top w:val="nil"/>
              <w:left w:val="nil"/>
              <w:bottom w:val="single" w:sz="4" w:space="0" w:color="auto"/>
              <w:right w:val="single" w:sz="4" w:space="0" w:color="auto"/>
            </w:tcBorders>
            <w:shd w:val="clear" w:color="auto" w:fill="auto"/>
            <w:noWrap/>
            <w:vAlign w:val="center"/>
            <w:hideMark/>
          </w:tcPr>
          <w:p w14:paraId="1F3F713A"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56</w:t>
            </w:r>
            <w:r>
              <w:rPr>
                <w:rFonts w:eastAsia="Times New Roman"/>
                <w:color w:val="000000"/>
                <w:kern w:val="0"/>
                <w:lang w:eastAsia="en-AU"/>
                <w14:ligatures w14:val="none"/>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5FE78CBE"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24</w:t>
            </w:r>
            <w:r>
              <w:rPr>
                <w:rFonts w:eastAsia="Times New Roman"/>
                <w:color w:val="000000"/>
                <w:kern w:val="0"/>
                <w:lang w:eastAsia="en-AU"/>
                <w14:ligatures w14:val="none"/>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510F4A96"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20</w:t>
            </w:r>
            <w:r>
              <w:rPr>
                <w:rFonts w:eastAsia="Times New Roman"/>
                <w:color w:val="000000"/>
                <w:kern w:val="0"/>
                <w:lang w:eastAsia="en-AU"/>
                <w14:ligatures w14:val="none"/>
              </w:rPr>
              <w:t xml:space="preserve"> per cent</w:t>
            </w:r>
          </w:p>
        </w:tc>
      </w:tr>
      <w:tr w:rsidR="00DC68AF" w:rsidRPr="00A41047" w14:paraId="4530E4FA" w14:textId="77777777" w:rsidTr="00726F1E">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018CF0"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2022</w:t>
            </w:r>
          </w:p>
        </w:tc>
        <w:tc>
          <w:tcPr>
            <w:tcW w:w="2268" w:type="dxa"/>
            <w:tcBorders>
              <w:top w:val="nil"/>
              <w:left w:val="nil"/>
              <w:bottom w:val="single" w:sz="4" w:space="0" w:color="auto"/>
              <w:right w:val="single" w:sz="4" w:space="0" w:color="auto"/>
            </w:tcBorders>
            <w:shd w:val="clear" w:color="auto" w:fill="auto"/>
            <w:noWrap/>
            <w:vAlign w:val="center"/>
            <w:hideMark/>
          </w:tcPr>
          <w:p w14:paraId="0888B8F2"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67</w:t>
            </w:r>
            <w:r>
              <w:rPr>
                <w:rFonts w:eastAsia="Times New Roman"/>
                <w:color w:val="000000"/>
                <w:kern w:val="0"/>
                <w:lang w:eastAsia="en-AU"/>
                <w14:ligatures w14:val="none"/>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002BC2A8"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30</w:t>
            </w:r>
            <w:r>
              <w:rPr>
                <w:rFonts w:eastAsia="Times New Roman"/>
                <w:color w:val="000000"/>
                <w:kern w:val="0"/>
                <w:lang w:eastAsia="en-AU"/>
                <w14:ligatures w14:val="none"/>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29D756FD"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3</w:t>
            </w:r>
            <w:r>
              <w:rPr>
                <w:rFonts w:eastAsia="Times New Roman"/>
                <w:color w:val="000000"/>
                <w:kern w:val="0"/>
                <w:lang w:eastAsia="en-AU"/>
                <w14:ligatures w14:val="none"/>
              </w:rPr>
              <w:t xml:space="preserve"> per cent</w:t>
            </w:r>
          </w:p>
        </w:tc>
      </w:tr>
      <w:tr w:rsidR="00DC68AF" w:rsidRPr="00A41047" w14:paraId="270A084B" w14:textId="77777777" w:rsidTr="00726F1E">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CD3477"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2023</w:t>
            </w:r>
          </w:p>
        </w:tc>
        <w:tc>
          <w:tcPr>
            <w:tcW w:w="2268" w:type="dxa"/>
            <w:tcBorders>
              <w:top w:val="nil"/>
              <w:left w:val="nil"/>
              <w:bottom w:val="single" w:sz="4" w:space="0" w:color="auto"/>
              <w:right w:val="single" w:sz="4" w:space="0" w:color="auto"/>
            </w:tcBorders>
            <w:shd w:val="clear" w:color="auto" w:fill="auto"/>
            <w:noWrap/>
            <w:vAlign w:val="center"/>
            <w:hideMark/>
          </w:tcPr>
          <w:p w14:paraId="7E62BDC6"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68</w:t>
            </w:r>
            <w:r>
              <w:rPr>
                <w:rFonts w:eastAsia="Times New Roman"/>
                <w:color w:val="000000"/>
                <w:kern w:val="0"/>
                <w:lang w:eastAsia="en-AU"/>
                <w14:ligatures w14:val="none"/>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2D176192"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25</w:t>
            </w:r>
            <w:r>
              <w:rPr>
                <w:rFonts w:eastAsia="Times New Roman"/>
                <w:color w:val="000000"/>
                <w:kern w:val="0"/>
                <w:lang w:eastAsia="en-AU"/>
                <w14:ligatures w14:val="none"/>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7506F5A1"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7</w:t>
            </w:r>
            <w:r>
              <w:rPr>
                <w:rFonts w:eastAsia="Times New Roman"/>
                <w:color w:val="000000"/>
                <w:kern w:val="0"/>
                <w:lang w:eastAsia="en-AU"/>
                <w14:ligatures w14:val="none"/>
              </w:rPr>
              <w:t xml:space="preserve"> per cent</w:t>
            </w:r>
          </w:p>
        </w:tc>
      </w:tr>
      <w:tr w:rsidR="00DC68AF" w:rsidRPr="00A41047" w14:paraId="6A5E8895" w14:textId="77777777" w:rsidTr="00726F1E">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ECE0D0"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2024</w:t>
            </w:r>
          </w:p>
        </w:tc>
        <w:tc>
          <w:tcPr>
            <w:tcW w:w="2268" w:type="dxa"/>
            <w:tcBorders>
              <w:top w:val="nil"/>
              <w:left w:val="nil"/>
              <w:bottom w:val="single" w:sz="4" w:space="0" w:color="auto"/>
              <w:right w:val="single" w:sz="4" w:space="0" w:color="auto"/>
            </w:tcBorders>
            <w:shd w:val="clear" w:color="auto" w:fill="auto"/>
            <w:noWrap/>
            <w:vAlign w:val="center"/>
            <w:hideMark/>
          </w:tcPr>
          <w:p w14:paraId="087974EA"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46</w:t>
            </w:r>
            <w:r>
              <w:rPr>
                <w:rFonts w:eastAsia="Times New Roman"/>
                <w:color w:val="000000"/>
                <w:kern w:val="0"/>
                <w:lang w:eastAsia="en-AU"/>
                <w14:ligatures w14:val="none"/>
              </w:rPr>
              <w:t xml:space="preserve"> per cent</w:t>
            </w:r>
          </w:p>
        </w:tc>
        <w:tc>
          <w:tcPr>
            <w:tcW w:w="1984" w:type="dxa"/>
            <w:tcBorders>
              <w:top w:val="nil"/>
              <w:left w:val="nil"/>
              <w:bottom w:val="single" w:sz="4" w:space="0" w:color="auto"/>
              <w:right w:val="single" w:sz="4" w:space="0" w:color="auto"/>
            </w:tcBorders>
            <w:shd w:val="clear" w:color="auto" w:fill="auto"/>
            <w:noWrap/>
            <w:vAlign w:val="center"/>
            <w:hideMark/>
          </w:tcPr>
          <w:p w14:paraId="3686F752"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39</w:t>
            </w:r>
            <w:r>
              <w:rPr>
                <w:rFonts w:eastAsia="Times New Roman"/>
                <w:color w:val="000000"/>
                <w:kern w:val="0"/>
                <w:lang w:eastAsia="en-AU"/>
                <w14:ligatures w14:val="none"/>
              </w:rPr>
              <w:t xml:space="preserve"> per cent</w:t>
            </w:r>
          </w:p>
        </w:tc>
        <w:tc>
          <w:tcPr>
            <w:tcW w:w="2410" w:type="dxa"/>
            <w:tcBorders>
              <w:top w:val="nil"/>
              <w:left w:val="nil"/>
              <w:bottom w:val="single" w:sz="4" w:space="0" w:color="auto"/>
              <w:right w:val="single" w:sz="4" w:space="0" w:color="auto"/>
            </w:tcBorders>
            <w:shd w:val="clear" w:color="auto" w:fill="auto"/>
            <w:noWrap/>
            <w:vAlign w:val="center"/>
            <w:hideMark/>
          </w:tcPr>
          <w:p w14:paraId="72CAD51C" w14:textId="77777777" w:rsidR="00DC68AF" w:rsidRPr="00A41047" w:rsidRDefault="00DC68AF" w:rsidP="00726F1E">
            <w:pPr>
              <w:spacing w:after="0" w:line="240" w:lineRule="auto"/>
              <w:rPr>
                <w:rFonts w:eastAsia="Times New Roman"/>
                <w:color w:val="000000"/>
                <w:kern w:val="0"/>
                <w:lang w:eastAsia="en-AU"/>
                <w14:ligatures w14:val="none"/>
              </w:rPr>
            </w:pPr>
            <w:r w:rsidRPr="00A41047">
              <w:rPr>
                <w:rFonts w:eastAsia="Times New Roman"/>
                <w:color w:val="000000"/>
                <w:kern w:val="0"/>
                <w:lang w:eastAsia="en-AU"/>
                <w14:ligatures w14:val="none"/>
              </w:rPr>
              <w:t>14</w:t>
            </w:r>
            <w:r>
              <w:rPr>
                <w:rFonts w:eastAsia="Times New Roman"/>
                <w:color w:val="000000"/>
                <w:kern w:val="0"/>
                <w:lang w:eastAsia="en-AU"/>
                <w14:ligatures w14:val="none"/>
              </w:rPr>
              <w:t xml:space="preserve"> per cent</w:t>
            </w:r>
          </w:p>
        </w:tc>
      </w:tr>
    </w:tbl>
    <w:p w14:paraId="159AC05D" w14:textId="2D6C941B" w:rsidR="00DC68AF" w:rsidRDefault="00DC68AF" w:rsidP="00DC68AF">
      <w:pPr>
        <w:pStyle w:val="Caption"/>
      </w:pPr>
      <w:bookmarkStart w:id="139" w:name="_Ref184225453"/>
      <w:r w:rsidRPr="00275BEA">
        <w:rPr>
          <w:b/>
          <w:bCs/>
        </w:rPr>
        <w:t xml:space="preserve">Table </w:t>
      </w:r>
      <w:r w:rsidRPr="00275BEA">
        <w:rPr>
          <w:b/>
          <w:bCs/>
        </w:rPr>
        <w:fldChar w:fldCharType="begin"/>
      </w:r>
      <w:r w:rsidRPr="00275BEA">
        <w:rPr>
          <w:b/>
          <w:bCs/>
        </w:rPr>
        <w:instrText xml:space="preserve"> SEQ Table \* ARABIC </w:instrText>
      </w:r>
      <w:r w:rsidRPr="00275BEA">
        <w:rPr>
          <w:b/>
          <w:bCs/>
        </w:rPr>
        <w:fldChar w:fldCharType="separate"/>
      </w:r>
      <w:r w:rsidRPr="00275BEA">
        <w:rPr>
          <w:b/>
          <w:bCs/>
          <w:noProof/>
        </w:rPr>
        <w:t>37</w:t>
      </w:r>
      <w:r w:rsidRPr="00275BEA">
        <w:rPr>
          <w:b/>
          <w:bCs/>
        </w:rPr>
        <w:fldChar w:fldCharType="end"/>
      </w:r>
      <w:bookmarkEnd w:id="139"/>
      <w:r w:rsidRPr="00275BEA">
        <w:t xml:space="preserve"> The current DES model allows providers to deliver equitable job support for all people with disability who use these services</w:t>
      </w:r>
    </w:p>
    <w:tbl>
      <w:tblPr>
        <w:tblW w:w="8359" w:type="dxa"/>
        <w:tblLook w:val="04A0" w:firstRow="1" w:lastRow="0" w:firstColumn="1" w:lastColumn="0" w:noHBand="0" w:noVBand="1"/>
        <w:tblCaption w:val="Table 37 The current DES model allows providers to deliver equitable job support for all people with disability who use these services"/>
        <w:tblDescription w:val="A table showing respondents who agree or disagree with the statement that the current DES model allows providers to deliver equitable job support for all people with disability who use these services. Trend data from 2021 to 2024."/>
      </w:tblPr>
      <w:tblGrid>
        <w:gridCol w:w="1129"/>
        <w:gridCol w:w="2268"/>
        <w:gridCol w:w="2397"/>
        <w:gridCol w:w="2565"/>
      </w:tblGrid>
      <w:tr w:rsidR="00DC68AF" w:rsidRPr="007852B1" w14:paraId="3C32CB0A" w14:textId="77777777" w:rsidTr="00275BEA">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048F5C" w14:textId="77777777" w:rsidR="00DC68AF" w:rsidRPr="007852B1" w:rsidRDefault="00DC68AF" w:rsidP="00726F1E">
            <w:pPr>
              <w:spacing w:after="0" w:line="240" w:lineRule="auto"/>
              <w:rPr>
                <w:rFonts w:eastAsia="Times New Roman"/>
                <w:b/>
                <w:bCs/>
                <w:color w:val="000000"/>
                <w:kern w:val="0"/>
                <w:lang w:eastAsia="en-AU"/>
                <w14:ligatures w14:val="none"/>
              </w:rPr>
            </w:pPr>
            <w:r w:rsidRPr="007852B1">
              <w:rPr>
                <w:rFonts w:eastAsia="Times New Roman"/>
                <w:b/>
                <w:bCs/>
                <w:color w:val="000000"/>
                <w:kern w:val="0"/>
                <w:lang w:eastAsia="en-AU"/>
                <w14:ligatures w14:val="none"/>
              </w:rPr>
              <w:t>Yea</w:t>
            </w:r>
            <w:bookmarkStart w:id="140" w:name="Title_Table_37"/>
            <w:bookmarkEnd w:id="140"/>
            <w:r w:rsidRPr="007852B1">
              <w:rPr>
                <w:rFonts w:eastAsia="Times New Roman"/>
                <w:b/>
                <w:bCs/>
                <w:color w:val="000000"/>
                <w:kern w:val="0"/>
                <w:lang w:eastAsia="en-AU"/>
                <w14:ligatures w14:val="none"/>
              </w:rPr>
              <w:t>r</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4EFC9F2D" w14:textId="77777777" w:rsidR="00DC68AF" w:rsidRPr="007852B1" w:rsidRDefault="00DC68AF" w:rsidP="00726F1E">
            <w:pPr>
              <w:spacing w:after="0" w:line="240" w:lineRule="auto"/>
              <w:rPr>
                <w:rFonts w:eastAsia="Times New Roman"/>
                <w:b/>
                <w:bCs/>
                <w:color w:val="000000"/>
                <w:kern w:val="0"/>
                <w:lang w:eastAsia="en-AU"/>
                <w14:ligatures w14:val="none"/>
              </w:rPr>
            </w:pPr>
            <w:r w:rsidRPr="007852B1">
              <w:rPr>
                <w:rFonts w:eastAsia="Times New Roman"/>
                <w:b/>
                <w:bCs/>
                <w:color w:val="000000"/>
                <w:kern w:val="0"/>
                <w:lang w:eastAsia="en-AU"/>
                <w14:ligatures w14:val="none"/>
              </w:rPr>
              <w:t>Disagree or strongly disagree</w:t>
            </w:r>
          </w:p>
        </w:tc>
        <w:tc>
          <w:tcPr>
            <w:tcW w:w="2397" w:type="dxa"/>
            <w:tcBorders>
              <w:top w:val="single" w:sz="4" w:space="0" w:color="auto"/>
              <w:left w:val="nil"/>
              <w:bottom w:val="single" w:sz="4" w:space="0" w:color="auto"/>
              <w:right w:val="single" w:sz="4" w:space="0" w:color="auto"/>
            </w:tcBorders>
            <w:shd w:val="clear" w:color="000000" w:fill="D9D9D9"/>
            <w:noWrap/>
            <w:vAlign w:val="center"/>
            <w:hideMark/>
          </w:tcPr>
          <w:p w14:paraId="4C736A9F" w14:textId="77777777" w:rsidR="00DC68AF" w:rsidRPr="007852B1" w:rsidRDefault="00DC68AF" w:rsidP="00726F1E">
            <w:pPr>
              <w:spacing w:after="0" w:line="240" w:lineRule="auto"/>
              <w:rPr>
                <w:rFonts w:eastAsia="Times New Roman"/>
                <w:b/>
                <w:bCs/>
                <w:color w:val="000000"/>
                <w:kern w:val="0"/>
                <w:lang w:eastAsia="en-AU"/>
                <w14:ligatures w14:val="none"/>
              </w:rPr>
            </w:pPr>
            <w:r w:rsidRPr="007852B1">
              <w:rPr>
                <w:rFonts w:eastAsia="Times New Roman"/>
                <w:b/>
                <w:bCs/>
                <w:color w:val="000000"/>
                <w:kern w:val="0"/>
                <w:lang w:eastAsia="en-AU"/>
                <w14:ligatures w14:val="none"/>
              </w:rPr>
              <w:t>Neither agree nor disagree</w:t>
            </w:r>
          </w:p>
        </w:tc>
        <w:tc>
          <w:tcPr>
            <w:tcW w:w="2565" w:type="dxa"/>
            <w:tcBorders>
              <w:top w:val="single" w:sz="4" w:space="0" w:color="auto"/>
              <w:left w:val="nil"/>
              <w:bottom w:val="single" w:sz="4" w:space="0" w:color="auto"/>
              <w:right w:val="single" w:sz="4" w:space="0" w:color="auto"/>
            </w:tcBorders>
            <w:shd w:val="clear" w:color="000000" w:fill="D9D9D9"/>
            <w:noWrap/>
            <w:vAlign w:val="center"/>
            <w:hideMark/>
          </w:tcPr>
          <w:p w14:paraId="02CE3779" w14:textId="77777777" w:rsidR="00DC68AF" w:rsidRPr="007852B1" w:rsidRDefault="00DC68AF" w:rsidP="00726F1E">
            <w:pPr>
              <w:spacing w:after="0" w:line="240" w:lineRule="auto"/>
              <w:rPr>
                <w:rFonts w:eastAsia="Times New Roman"/>
                <w:b/>
                <w:bCs/>
                <w:color w:val="000000"/>
                <w:kern w:val="0"/>
                <w:lang w:eastAsia="en-AU"/>
                <w14:ligatures w14:val="none"/>
              </w:rPr>
            </w:pPr>
            <w:r w:rsidRPr="007852B1">
              <w:rPr>
                <w:rFonts w:eastAsia="Times New Roman"/>
                <w:b/>
                <w:bCs/>
                <w:color w:val="000000"/>
                <w:kern w:val="0"/>
                <w:lang w:eastAsia="en-AU"/>
                <w14:ligatures w14:val="none"/>
              </w:rPr>
              <w:t>Agree or strongly agree</w:t>
            </w:r>
          </w:p>
        </w:tc>
      </w:tr>
      <w:tr w:rsidR="00DC68AF" w:rsidRPr="007852B1" w14:paraId="5BABCCC0"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A40D50"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2021</w:t>
            </w:r>
          </w:p>
        </w:tc>
        <w:tc>
          <w:tcPr>
            <w:tcW w:w="2268" w:type="dxa"/>
            <w:tcBorders>
              <w:top w:val="nil"/>
              <w:left w:val="nil"/>
              <w:bottom w:val="single" w:sz="4" w:space="0" w:color="auto"/>
              <w:right w:val="single" w:sz="4" w:space="0" w:color="auto"/>
            </w:tcBorders>
            <w:shd w:val="clear" w:color="auto" w:fill="auto"/>
            <w:noWrap/>
            <w:vAlign w:val="center"/>
            <w:hideMark/>
          </w:tcPr>
          <w:p w14:paraId="479F75E7"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28</w:t>
            </w:r>
            <w:r>
              <w:rPr>
                <w:rFonts w:eastAsia="Times New Roman"/>
                <w:color w:val="000000"/>
                <w:kern w:val="0"/>
                <w:lang w:eastAsia="en-AU"/>
                <w14:ligatures w14:val="none"/>
              </w:rPr>
              <w:t xml:space="preserve"> per cent</w:t>
            </w:r>
          </w:p>
        </w:tc>
        <w:tc>
          <w:tcPr>
            <w:tcW w:w="2397" w:type="dxa"/>
            <w:tcBorders>
              <w:top w:val="nil"/>
              <w:left w:val="nil"/>
              <w:bottom w:val="single" w:sz="4" w:space="0" w:color="auto"/>
              <w:right w:val="single" w:sz="4" w:space="0" w:color="auto"/>
            </w:tcBorders>
            <w:shd w:val="clear" w:color="auto" w:fill="auto"/>
            <w:noWrap/>
            <w:vAlign w:val="center"/>
            <w:hideMark/>
          </w:tcPr>
          <w:p w14:paraId="4B7AEF77"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48</w:t>
            </w:r>
            <w:r>
              <w:rPr>
                <w:rFonts w:eastAsia="Times New Roman"/>
                <w:color w:val="000000"/>
                <w:kern w:val="0"/>
                <w:lang w:eastAsia="en-AU"/>
                <w14:ligatures w14:val="none"/>
              </w:rPr>
              <w:t xml:space="preserve"> per cent</w:t>
            </w:r>
          </w:p>
        </w:tc>
        <w:tc>
          <w:tcPr>
            <w:tcW w:w="2565" w:type="dxa"/>
            <w:tcBorders>
              <w:top w:val="nil"/>
              <w:left w:val="nil"/>
              <w:bottom w:val="single" w:sz="4" w:space="0" w:color="auto"/>
              <w:right w:val="single" w:sz="4" w:space="0" w:color="auto"/>
            </w:tcBorders>
            <w:shd w:val="clear" w:color="auto" w:fill="auto"/>
            <w:noWrap/>
            <w:vAlign w:val="center"/>
            <w:hideMark/>
          </w:tcPr>
          <w:p w14:paraId="46418C2F"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24</w:t>
            </w:r>
            <w:r>
              <w:rPr>
                <w:rFonts w:eastAsia="Times New Roman"/>
                <w:color w:val="000000"/>
                <w:kern w:val="0"/>
                <w:lang w:eastAsia="en-AU"/>
                <w14:ligatures w14:val="none"/>
              </w:rPr>
              <w:t xml:space="preserve"> per cent</w:t>
            </w:r>
          </w:p>
        </w:tc>
      </w:tr>
      <w:tr w:rsidR="00DC68AF" w:rsidRPr="007852B1" w14:paraId="1532B0DC"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8DACE3E"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2022</w:t>
            </w:r>
          </w:p>
        </w:tc>
        <w:tc>
          <w:tcPr>
            <w:tcW w:w="2268" w:type="dxa"/>
            <w:tcBorders>
              <w:top w:val="nil"/>
              <w:left w:val="nil"/>
              <w:bottom w:val="single" w:sz="4" w:space="0" w:color="auto"/>
              <w:right w:val="single" w:sz="4" w:space="0" w:color="auto"/>
            </w:tcBorders>
            <w:shd w:val="clear" w:color="auto" w:fill="auto"/>
            <w:noWrap/>
            <w:vAlign w:val="center"/>
            <w:hideMark/>
          </w:tcPr>
          <w:p w14:paraId="2D272154"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58</w:t>
            </w:r>
            <w:r>
              <w:rPr>
                <w:rFonts w:eastAsia="Times New Roman"/>
                <w:color w:val="000000"/>
                <w:kern w:val="0"/>
                <w:lang w:eastAsia="en-AU"/>
                <w14:ligatures w14:val="none"/>
              </w:rPr>
              <w:t xml:space="preserve"> per cent</w:t>
            </w:r>
          </w:p>
        </w:tc>
        <w:tc>
          <w:tcPr>
            <w:tcW w:w="2397" w:type="dxa"/>
            <w:tcBorders>
              <w:top w:val="nil"/>
              <w:left w:val="nil"/>
              <w:bottom w:val="single" w:sz="4" w:space="0" w:color="auto"/>
              <w:right w:val="single" w:sz="4" w:space="0" w:color="auto"/>
            </w:tcBorders>
            <w:shd w:val="clear" w:color="auto" w:fill="auto"/>
            <w:noWrap/>
            <w:vAlign w:val="center"/>
            <w:hideMark/>
          </w:tcPr>
          <w:p w14:paraId="51365035"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27</w:t>
            </w:r>
            <w:r>
              <w:rPr>
                <w:rFonts w:eastAsia="Times New Roman"/>
                <w:color w:val="000000"/>
                <w:kern w:val="0"/>
                <w:lang w:eastAsia="en-AU"/>
                <w14:ligatures w14:val="none"/>
              </w:rPr>
              <w:t xml:space="preserve"> per cent</w:t>
            </w:r>
          </w:p>
        </w:tc>
        <w:tc>
          <w:tcPr>
            <w:tcW w:w="2565" w:type="dxa"/>
            <w:tcBorders>
              <w:top w:val="nil"/>
              <w:left w:val="nil"/>
              <w:bottom w:val="single" w:sz="4" w:space="0" w:color="auto"/>
              <w:right w:val="single" w:sz="4" w:space="0" w:color="auto"/>
            </w:tcBorders>
            <w:shd w:val="clear" w:color="auto" w:fill="auto"/>
            <w:noWrap/>
            <w:vAlign w:val="center"/>
            <w:hideMark/>
          </w:tcPr>
          <w:p w14:paraId="2BAFE00A"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15</w:t>
            </w:r>
            <w:r>
              <w:rPr>
                <w:rFonts w:eastAsia="Times New Roman"/>
                <w:color w:val="000000"/>
                <w:kern w:val="0"/>
                <w:lang w:eastAsia="en-AU"/>
                <w14:ligatures w14:val="none"/>
              </w:rPr>
              <w:t xml:space="preserve"> per cent</w:t>
            </w:r>
          </w:p>
        </w:tc>
      </w:tr>
      <w:tr w:rsidR="00DC68AF" w:rsidRPr="007852B1" w14:paraId="00D477CA"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B79780"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2023</w:t>
            </w:r>
          </w:p>
        </w:tc>
        <w:tc>
          <w:tcPr>
            <w:tcW w:w="2268" w:type="dxa"/>
            <w:tcBorders>
              <w:top w:val="nil"/>
              <w:left w:val="nil"/>
              <w:bottom w:val="single" w:sz="4" w:space="0" w:color="auto"/>
              <w:right w:val="single" w:sz="4" w:space="0" w:color="auto"/>
            </w:tcBorders>
            <w:shd w:val="clear" w:color="auto" w:fill="auto"/>
            <w:noWrap/>
            <w:vAlign w:val="center"/>
            <w:hideMark/>
          </w:tcPr>
          <w:p w14:paraId="223BF074"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54</w:t>
            </w:r>
            <w:r>
              <w:rPr>
                <w:rFonts w:eastAsia="Times New Roman"/>
                <w:color w:val="000000"/>
                <w:kern w:val="0"/>
                <w:lang w:eastAsia="en-AU"/>
                <w14:ligatures w14:val="none"/>
              </w:rPr>
              <w:t xml:space="preserve"> per cent</w:t>
            </w:r>
          </w:p>
        </w:tc>
        <w:tc>
          <w:tcPr>
            <w:tcW w:w="2397" w:type="dxa"/>
            <w:tcBorders>
              <w:top w:val="nil"/>
              <w:left w:val="nil"/>
              <w:bottom w:val="single" w:sz="4" w:space="0" w:color="auto"/>
              <w:right w:val="single" w:sz="4" w:space="0" w:color="auto"/>
            </w:tcBorders>
            <w:shd w:val="clear" w:color="auto" w:fill="auto"/>
            <w:noWrap/>
            <w:vAlign w:val="center"/>
            <w:hideMark/>
          </w:tcPr>
          <w:p w14:paraId="70845BA5"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25</w:t>
            </w:r>
            <w:r>
              <w:rPr>
                <w:rFonts w:eastAsia="Times New Roman"/>
                <w:color w:val="000000"/>
                <w:kern w:val="0"/>
                <w:lang w:eastAsia="en-AU"/>
                <w14:ligatures w14:val="none"/>
              </w:rPr>
              <w:t xml:space="preserve"> per cent</w:t>
            </w:r>
          </w:p>
        </w:tc>
        <w:tc>
          <w:tcPr>
            <w:tcW w:w="2565" w:type="dxa"/>
            <w:tcBorders>
              <w:top w:val="nil"/>
              <w:left w:val="nil"/>
              <w:bottom w:val="single" w:sz="4" w:space="0" w:color="auto"/>
              <w:right w:val="single" w:sz="4" w:space="0" w:color="auto"/>
            </w:tcBorders>
            <w:shd w:val="clear" w:color="auto" w:fill="auto"/>
            <w:noWrap/>
            <w:vAlign w:val="center"/>
            <w:hideMark/>
          </w:tcPr>
          <w:p w14:paraId="20BCAA0D"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21</w:t>
            </w:r>
            <w:r>
              <w:rPr>
                <w:rFonts w:eastAsia="Times New Roman"/>
                <w:color w:val="000000"/>
                <w:kern w:val="0"/>
                <w:lang w:eastAsia="en-AU"/>
                <w14:ligatures w14:val="none"/>
              </w:rPr>
              <w:t xml:space="preserve"> per cent</w:t>
            </w:r>
          </w:p>
        </w:tc>
      </w:tr>
      <w:tr w:rsidR="00DC68AF" w:rsidRPr="007852B1" w14:paraId="7BE859CF" w14:textId="77777777" w:rsidTr="00726F1E">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04234C"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2024</w:t>
            </w:r>
          </w:p>
        </w:tc>
        <w:tc>
          <w:tcPr>
            <w:tcW w:w="2268" w:type="dxa"/>
            <w:tcBorders>
              <w:top w:val="nil"/>
              <w:left w:val="nil"/>
              <w:bottom w:val="single" w:sz="4" w:space="0" w:color="auto"/>
              <w:right w:val="single" w:sz="4" w:space="0" w:color="auto"/>
            </w:tcBorders>
            <w:shd w:val="clear" w:color="auto" w:fill="auto"/>
            <w:noWrap/>
            <w:vAlign w:val="center"/>
            <w:hideMark/>
          </w:tcPr>
          <w:p w14:paraId="23CB0D2E"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61</w:t>
            </w:r>
            <w:r>
              <w:rPr>
                <w:rFonts w:eastAsia="Times New Roman"/>
                <w:color w:val="000000"/>
                <w:kern w:val="0"/>
                <w:lang w:eastAsia="en-AU"/>
                <w14:ligatures w14:val="none"/>
              </w:rPr>
              <w:t xml:space="preserve"> per cent</w:t>
            </w:r>
          </w:p>
        </w:tc>
        <w:tc>
          <w:tcPr>
            <w:tcW w:w="2397" w:type="dxa"/>
            <w:tcBorders>
              <w:top w:val="nil"/>
              <w:left w:val="nil"/>
              <w:bottom w:val="single" w:sz="4" w:space="0" w:color="auto"/>
              <w:right w:val="single" w:sz="4" w:space="0" w:color="auto"/>
            </w:tcBorders>
            <w:shd w:val="clear" w:color="auto" w:fill="auto"/>
            <w:noWrap/>
            <w:vAlign w:val="center"/>
            <w:hideMark/>
          </w:tcPr>
          <w:p w14:paraId="3FC55263"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29</w:t>
            </w:r>
            <w:r>
              <w:rPr>
                <w:rFonts w:eastAsia="Times New Roman"/>
                <w:color w:val="000000"/>
                <w:kern w:val="0"/>
                <w:lang w:eastAsia="en-AU"/>
                <w14:ligatures w14:val="none"/>
              </w:rPr>
              <w:t xml:space="preserve"> per cent</w:t>
            </w:r>
          </w:p>
        </w:tc>
        <w:tc>
          <w:tcPr>
            <w:tcW w:w="2565" w:type="dxa"/>
            <w:tcBorders>
              <w:top w:val="nil"/>
              <w:left w:val="nil"/>
              <w:bottom w:val="single" w:sz="4" w:space="0" w:color="auto"/>
              <w:right w:val="single" w:sz="4" w:space="0" w:color="auto"/>
            </w:tcBorders>
            <w:shd w:val="clear" w:color="auto" w:fill="auto"/>
            <w:noWrap/>
            <w:vAlign w:val="center"/>
            <w:hideMark/>
          </w:tcPr>
          <w:p w14:paraId="0FF66E0B" w14:textId="77777777" w:rsidR="00DC68AF" w:rsidRPr="007852B1" w:rsidRDefault="00DC68AF" w:rsidP="00726F1E">
            <w:pPr>
              <w:spacing w:after="0" w:line="240" w:lineRule="auto"/>
              <w:rPr>
                <w:rFonts w:eastAsia="Times New Roman"/>
                <w:color w:val="000000"/>
                <w:kern w:val="0"/>
                <w:lang w:eastAsia="en-AU"/>
                <w14:ligatures w14:val="none"/>
              </w:rPr>
            </w:pPr>
            <w:r w:rsidRPr="007852B1">
              <w:rPr>
                <w:rFonts w:eastAsia="Times New Roman"/>
                <w:color w:val="000000"/>
                <w:kern w:val="0"/>
                <w:lang w:eastAsia="en-AU"/>
                <w14:ligatures w14:val="none"/>
              </w:rPr>
              <w:t>11</w:t>
            </w:r>
            <w:r>
              <w:rPr>
                <w:rFonts w:eastAsia="Times New Roman"/>
                <w:color w:val="000000"/>
                <w:kern w:val="0"/>
                <w:lang w:eastAsia="en-AU"/>
                <w14:ligatures w14:val="none"/>
              </w:rPr>
              <w:t xml:space="preserve"> per cent</w:t>
            </w:r>
          </w:p>
        </w:tc>
      </w:tr>
    </w:tbl>
    <w:p w14:paraId="26E6BD5B" w14:textId="68941FF4" w:rsidR="004316F3" w:rsidRDefault="00722D99" w:rsidP="00124069">
      <w:pPr>
        <w:spacing w:before="360"/>
      </w:pPr>
      <w:r>
        <w:t>Only 11 per cent of respondents believe that DES changes (including the Quality and proposed Performance Framework) have improved service experience and provide comprehensive information, which allows organisations to make business decisions. Nearly half of respondents answered neutral to this question (43 per cent) and 46 per cent responded negatively.</w:t>
      </w:r>
    </w:p>
    <w:p w14:paraId="22233677" w14:textId="0421FCAA" w:rsidR="004316F3" w:rsidRDefault="00722D99" w:rsidP="0097062A">
      <w:pPr>
        <w:rPr>
          <w:color w:val="000000" w:themeColor="text1"/>
          <w:lang w:val="en-US"/>
        </w:rPr>
      </w:pPr>
      <w:r>
        <w:t>Only a small number of respondents provided additional comments about the DES operating environment, but the themes tended to reflect overall pessimism:</w:t>
      </w:r>
    </w:p>
    <w:p w14:paraId="5F595436" w14:textId="2F426B82" w:rsidR="00722D99" w:rsidRPr="00E21061" w:rsidRDefault="00722D99" w:rsidP="00FA45E7">
      <w:pPr>
        <w:pStyle w:val="Quote"/>
        <w:rPr>
          <w:lang w:val="en-US"/>
        </w:rPr>
      </w:pPr>
      <w:r w:rsidRPr="644B5232">
        <w:lastRenderedPageBreak/>
        <w:t>“Reverting to the 2018 outcome payment model does not show that the commonwealth is interested in investing in the long-term success of people with a disability</w:t>
      </w:r>
      <w:r>
        <w:t>.</w:t>
      </w:r>
      <w:r w:rsidRPr="644B5232">
        <w:t>”</w:t>
      </w:r>
    </w:p>
    <w:p w14:paraId="176537BA" w14:textId="77777777" w:rsidR="004316F3" w:rsidRDefault="00722D99" w:rsidP="00FA45E7">
      <w:pPr>
        <w:pStyle w:val="QuoteAuthor"/>
        <w:rPr>
          <w:lang w:val="en-US"/>
        </w:rPr>
      </w:pPr>
      <w:r w:rsidRPr="644B5232">
        <w:t>SA medium not-for-profit</w:t>
      </w:r>
    </w:p>
    <w:p w14:paraId="53091E8B" w14:textId="3BED3DB6" w:rsidR="00722D99" w:rsidRPr="00E21061" w:rsidRDefault="00722D99" w:rsidP="00FA45E7">
      <w:pPr>
        <w:pStyle w:val="Quote"/>
        <w:rPr>
          <w:lang w:val="en-US"/>
        </w:rPr>
      </w:pPr>
      <w:r>
        <w:t>“</w:t>
      </w:r>
      <w:r w:rsidRPr="50E3E469">
        <w:t>The program is expanding the number of clients but there is no increase in investment … no employment fund for access to items to support employment outcomes</w:t>
      </w:r>
      <w:r>
        <w:t>.</w:t>
      </w:r>
      <w:r w:rsidRPr="50E3E469">
        <w:t>”</w:t>
      </w:r>
    </w:p>
    <w:p w14:paraId="1FBF9363" w14:textId="77777777" w:rsidR="004316F3" w:rsidRDefault="00722D99" w:rsidP="00FA45E7">
      <w:pPr>
        <w:pStyle w:val="QuoteAuthor"/>
        <w:rPr>
          <w:lang w:val="en-US"/>
        </w:rPr>
      </w:pPr>
      <w:r w:rsidRPr="71DF40DC">
        <w:t>Qld</w:t>
      </w:r>
      <w:r w:rsidRPr="644B5232">
        <w:t xml:space="preserve"> large not-for-profit</w:t>
      </w:r>
    </w:p>
    <w:p w14:paraId="33E19A7B" w14:textId="21178E6C" w:rsidR="00722D99" w:rsidRPr="00E21061" w:rsidRDefault="00722D99" w:rsidP="00FA45E7">
      <w:pPr>
        <w:pStyle w:val="Quote"/>
        <w:rPr>
          <w:lang w:val="en-US"/>
        </w:rPr>
      </w:pPr>
      <w:r w:rsidRPr="644B5232">
        <w:t>“Most significant concern is the financial viability of the proposed changes and ensuring comprehensive understanding of the Department</w:t>
      </w:r>
      <w:r>
        <w:t>’</w:t>
      </w:r>
      <w:r w:rsidRPr="644B5232">
        <w:t>s financial modelling that underpins the model.”</w:t>
      </w:r>
    </w:p>
    <w:p w14:paraId="16FDF2DA" w14:textId="77777777" w:rsidR="004316F3" w:rsidRDefault="00722D99" w:rsidP="00FA45E7">
      <w:pPr>
        <w:pStyle w:val="QuoteAuthor"/>
        <w:rPr>
          <w:lang w:val="en-US"/>
        </w:rPr>
      </w:pPr>
      <w:r w:rsidRPr="644B5232">
        <w:t>NSW large not-for-profit</w:t>
      </w:r>
    </w:p>
    <w:p w14:paraId="31681DDD" w14:textId="138601C1" w:rsidR="00722D99" w:rsidRPr="00E21061" w:rsidRDefault="00722D99" w:rsidP="00FA45E7">
      <w:pPr>
        <w:pStyle w:val="Quote"/>
        <w:rPr>
          <w:lang w:val="en-US"/>
        </w:rPr>
      </w:pPr>
      <w:r w:rsidRPr="644B5232">
        <w:t>"The proposed funding reductions will make it hard for providers to remain viable while delivery a personable and quality service."</w:t>
      </w:r>
    </w:p>
    <w:p w14:paraId="024E845A" w14:textId="77777777" w:rsidR="00722D99" w:rsidRDefault="00722D99" w:rsidP="00FA45E7">
      <w:pPr>
        <w:pStyle w:val="QuoteAuthor"/>
        <w:rPr>
          <w:lang w:val="en-US"/>
        </w:rPr>
      </w:pPr>
      <w:r w:rsidRPr="71DF40DC">
        <w:t>Vic</w:t>
      </w:r>
      <w:r w:rsidRPr="644B5232">
        <w:t xml:space="preserve"> large not-for-profit</w:t>
      </w:r>
    </w:p>
    <w:p w14:paraId="193814BD" w14:textId="77777777" w:rsidR="00722D99" w:rsidRPr="0057377C" w:rsidRDefault="00722D99" w:rsidP="0097062A">
      <w:pPr>
        <w:pStyle w:val="Heading3"/>
      </w:pPr>
      <w:r w:rsidRPr="0057377C">
        <w:t>DES program reform</w:t>
      </w:r>
    </w:p>
    <w:p w14:paraId="48A208F8" w14:textId="77777777" w:rsidR="004316F3" w:rsidRDefault="00722D99" w:rsidP="0097062A">
      <w:r>
        <w:t>While the mood of providers in the disability employment sector remains realistic but resilient, there has been a clear change from optimism about proposed changes which will see the current Disability Employment Services program replaced by the New Specialist Disability Employment Program (NSDEP). Providers are concerned that pricing and funding is not adequate for the sector to remain viable while delivering increased service quality and improved participant experience.</w:t>
      </w:r>
    </w:p>
    <w:p w14:paraId="31C850F3" w14:textId="7CFB1D5A" w:rsidR="00722D99" w:rsidRDefault="00722D99" w:rsidP="0097062A">
      <w:pPr>
        <w:rPr>
          <w:color w:val="000000" w:themeColor="text1"/>
          <w:lang w:val="en-US"/>
        </w:rPr>
      </w:pPr>
      <w:r>
        <w:t>Financial margins for DES providers have been significantly eroded during the current funding agreement, with minimal program indexation that falls well short of rapidly rising costs. NDS is examining details of the NSDEP as they emerge, ahead of the wider procurement process, that will cause significant uncertainty for providers. With the proposed significant reduction in the level of providers in each Employment Service Area (ESA), transition into the NSDEP is likely to cause disruption and angst for all stakeholders.</w:t>
      </w:r>
    </w:p>
    <w:p w14:paraId="0946F1FB" w14:textId="77777777" w:rsidR="004316F3" w:rsidRDefault="00722D99" w:rsidP="0097062A">
      <w:r>
        <w:lastRenderedPageBreak/>
        <w:t>NDS will continue to represent members’ views that support an effective NSDEP that can meet its policy intent for a higher quality participant experience underpinned with adequate funding to meet these expectations, deliver outcomes and ensure provider sustainability.</w:t>
      </w:r>
    </w:p>
    <w:p w14:paraId="723B390A" w14:textId="0B3EF4ED" w:rsidR="00722D99" w:rsidRDefault="00722D99" w:rsidP="0097062A">
      <w:pPr>
        <w:rPr>
          <w:color w:val="000000" w:themeColor="text1"/>
          <w:lang w:val="en-US"/>
        </w:rPr>
      </w:pPr>
      <w:r>
        <w:t>The Department of Social Services (DSS) is designing a fresh approach to the DES performance framework with a clear policy focus on participant experience alongside performance and self-assessment, with less complexity and new embedded benchmarking. While providers are positive about the policy intent of the changes, they remain concerned these will result in additional administration in both the DES program and the NSDEP. Providers are also concerned that program pricing and architecture will not meet the expectations to deliver higher-quality services and participant experience.</w:t>
      </w:r>
    </w:p>
    <w:p w14:paraId="65081942" w14:textId="77777777" w:rsidR="00722D99" w:rsidRDefault="00722D99" w:rsidP="0097062A">
      <w:pPr>
        <w:rPr>
          <w:color w:val="000000" w:themeColor="text1"/>
          <w:lang w:val="en-US"/>
        </w:rPr>
      </w:pPr>
      <w:r>
        <w:t>The program’s performance reporting framework was upended following the review of the DES star ratings, which had been severely compromised because of flawed data calculations. Minister Rishworth subsequently announced the abolition of their use in October 2023 and the development of a new performance framework for DES.</w:t>
      </w:r>
    </w:p>
    <w:p w14:paraId="02BDF716" w14:textId="77777777" w:rsidR="00722D99" w:rsidRDefault="00722D99" w:rsidP="0097062A">
      <w:pPr>
        <w:rPr>
          <w:color w:val="000000" w:themeColor="text1"/>
          <w:lang w:val="en-US"/>
        </w:rPr>
      </w:pPr>
      <w:r>
        <w:t>In January 2024, interim performance measures included a new focus on quality measures. To inform this work, DSS established a series of reference groups on the quality framework, a guidelines review, the performance framework, data and reporting, and the participant experience. NDS was a member of all five reference groups and provided valuable insights on behalf of members.</w:t>
      </w:r>
    </w:p>
    <w:p w14:paraId="6C7D2799" w14:textId="77777777" w:rsidR="004316F3" w:rsidRDefault="00722D99" w:rsidP="0097062A">
      <w:r>
        <w:t>The latest work on the DES performance framework has seen a scorecard approach applied for reporting on provider performance and quality, with results intended to be provided by DSS to participants, employers and providers. At the same time, issues pertaining to past DES star ratings and the subsequent loss of business remain unresolved for many providers.</w:t>
      </w:r>
    </w:p>
    <w:p w14:paraId="7741590A" w14:textId="77777777" w:rsidR="004316F3" w:rsidRDefault="00722D99" w:rsidP="0097062A">
      <w:r>
        <w:t>Understandably, the sector was concerned about the absence of important detail, the potential for complexity and the need for genuine transparency in the framework’s introduction, what it will measure and the extent of its use in procurement for the NSDEP. The additional focus on quality will probably lead to greater compliance and evidence requirements for providers. NDS has recommended a test and trial approach be taken before any public release of scorecard results.</w:t>
      </w:r>
    </w:p>
    <w:p w14:paraId="7B205AD2" w14:textId="18650A1A" w:rsidR="00722D99" w:rsidRDefault="00722D99" w:rsidP="0097062A">
      <w:r>
        <w:lastRenderedPageBreak/>
        <w:t>As in previous years, the DES participant caseload continues to contract from 268,980 to 257,876 over 2023</w:t>
      </w:r>
      <w:r w:rsidRPr="644B5232">
        <w:rPr>
          <w:lang w:val="en-US"/>
        </w:rPr>
        <w:t>–</w:t>
      </w:r>
      <w:r>
        <w:t>24, a decrease of four per cent. Since the participant eligibility changes in July 2021, the total DES caseload has decreased by over 18 per cent. However, during this time, the growth in the mature age cohort has seen it become the largest participant age cohort in DES. (Department of Social Services 2024)</w:t>
      </w:r>
    </w:p>
    <w:p w14:paraId="2349294B" w14:textId="77777777" w:rsidR="00722D99" w:rsidRDefault="00722D99" w:rsidP="0097062A">
      <w:pPr>
        <w:rPr>
          <w:color w:val="000000" w:themeColor="text1"/>
          <w:lang w:val="en-US"/>
        </w:rPr>
      </w:pPr>
      <w:r>
        <w:t>Consequently, NDS and members have acknowledged that extending participant eligibility for the NSDEP is a positive move that accords with our past advocacy positions. Our view is that sufficient funding and clear program architecture are fundamental to achieving an effective and viable NSDEP in line with the government’s policy intent and the stronger focus on quality and participant experience.</w:t>
      </w:r>
    </w:p>
    <w:p w14:paraId="5D325437" w14:textId="77777777" w:rsidR="004316F3" w:rsidRDefault="00722D99" w:rsidP="0097062A">
      <w:r>
        <w:t>The digital servicing model has largely not produced the outcomes expected for people with disability and many participants will probably be referred to DES instead of digital servicing. NDS continues to advocate to DSS for more insights on the digital model and its intersection with DES and the NSDEP.</w:t>
      </w:r>
    </w:p>
    <w:p w14:paraId="5444316C" w14:textId="2101CD6B" w:rsidR="00722D99" w:rsidRPr="007168B1" w:rsidRDefault="00722D99" w:rsidP="0097062A">
      <w:pPr>
        <w:pStyle w:val="Heading3"/>
      </w:pPr>
      <w:r>
        <w:t>Other disability employment reform</w:t>
      </w:r>
    </w:p>
    <w:p w14:paraId="5728E6B5" w14:textId="77777777" w:rsidR="00722D99" w:rsidRDefault="00722D99" w:rsidP="0097062A">
      <w:pPr>
        <w:rPr>
          <w:color w:val="000000" w:themeColor="text1"/>
          <w:lang w:val="en-US"/>
        </w:rPr>
      </w:pPr>
      <w:r>
        <w:t>Other important developments during the year included the Department of Social Services (DSS) grants for the Structural Adjustment Fund, Disability Employment Expos Program and the Disability Employment Advocacy and Information Program. DSS also announced a future grant for the proposed Disability Employment Centre of Excellence and the National Panel of Assessors (NPA).</w:t>
      </w:r>
    </w:p>
    <w:p w14:paraId="175C8FB5" w14:textId="77777777" w:rsidR="004316F3" w:rsidRPr="00FA45E7" w:rsidRDefault="00722D99" w:rsidP="00FA45E7">
      <w:pPr>
        <w:pStyle w:val="Heading3"/>
      </w:pPr>
      <w:r w:rsidRPr="00FA45E7">
        <w:t>What's next?</w:t>
      </w:r>
    </w:p>
    <w:p w14:paraId="232D7C85" w14:textId="6ED5B3B8" w:rsidR="00722D99" w:rsidRDefault="00722D99" w:rsidP="0097062A">
      <w:pPr>
        <w:rPr>
          <w:color w:val="000000" w:themeColor="text1"/>
          <w:lang w:val="en-US"/>
        </w:rPr>
      </w:pPr>
      <w:r>
        <w:t>Financial decline for providers of disability employment has continued this year with DES providers and NDIS supports in employment providers facing increasing costs, which are not being met by adequate funding, appropriate indexation or pricing, placing significant stress on the sector.</w:t>
      </w:r>
    </w:p>
    <w:p w14:paraId="230ECEFD" w14:textId="77777777" w:rsidR="00722D99" w:rsidRDefault="00722D99" w:rsidP="0097062A">
      <w:pPr>
        <w:rPr>
          <w:color w:val="000000" w:themeColor="text1"/>
          <w:lang w:val="en-US"/>
        </w:rPr>
      </w:pPr>
      <w:r>
        <w:t xml:space="preserve">Despite providers implementing commercial sustainability measures, such as increased participant caseloads, operational efficiencies and renegotiation of </w:t>
      </w:r>
      <w:r>
        <w:lastRenderedPageBreak/>
        <w:t>commercial contracts and business arrangements, we have seen continued merger and acquisition activity and provider exits,</w:t>
      </w:r>
    </w:p>
    <w:p w14:paraId="44462741" w14:textId="77777777" w:rsidR="004316F3" w:rsidRDefault="00722D99" w:rsidP="0097062A">
      <w:r>
        <w:t>NDS will work with members, peak bodies, disability representative organisations, employers and governments to ensure the sector can continue to deliver quality, sustainable employment outcomes and pathways across a wide range of employment settings.</w:t>
      </w:r>
    </w:p>
    <w:p w14:paraId="27F81DD3" w14:textId="5501E1F4" w:rsidR="00722D99" w:rsidRDefault="00722D99" w:rsidP="0097062A">
      <w:pPr>
        <w:rPr>
          <w:color w:val="000000" w:themeColor="text1"/>
          <w:lang w:val="en-US"/>
        </w:rPr>
      </w:pPr>
      <w:r>
        <w:t>We will continue to encourage government to invest in disability employment objectives. Both sufficient funding and realistic policy settings are needed to support a future for the sector that will deliver these positive outcomes.</w:t>
      </w:r>
    </w:p>
    <w:p w14:paraId="4EB40D28" w14:textId="77777777" w:rsidR="004316F3" w:rsidRDefault="229AD799" w:rsidP="0097062A">
      <w:pPr>
        <w:pStyle w:val="Heading2"/>
      </w:pPr>
      <w:bookmarkStart w:id="141" w:name="_Toc184287176"/>
      <w:r>
        <w:lastRenderedPageBreak/>
        <w:t>References</w:t>
      </w:r>
      <w:bookmarkEnd w:id="129"/>
      <w:bookmarkEnd w:id="141"/>
    </w:p>
    <w:p w14:paraId="62CEE6C4" w14:textId="387A8102" w:rsidR="4EFAB4FA" w:rsidRDefault="1BCCA9B9" w:rsidP="0097062A">
      <w:pPr>
        <w:rPr>
          <w:rFonts w:ascii="Aptos" w:eastAsia="Aptos" w:hAnsi="Aptos" w:cs="Aptos"/>
        </w:rPr>
      </w:pPr>
      <w:r w:rsidRPr="5763C60B">
        <w:rPr>
          <w:rFonts w:ascii="Aptos" w:eastAsia="Aptos" w:hAnsi="Aptos" w:cs="Aptos"/>
        </w:rPr>
        <w:t>D</w:t>
      </w:r>
      <w:proofErr w:type="spellStart"/>
      <w:r w:rsidRPr="5763C60B">
        <w:rPr>
          <w:rFonts w:ascii="Aptos" w:eastAsia="Aptos" w:hAnsi="Aptos" w:cs="Aptos"/>
          <w:lang w:val="en-US"/>
        </w:rPr>
        <w:t>epartment</w:t>
      </w:r>
      <w:proofErr w:type="spellEnd"/>
      <w:r w:rsidRPr="77D71DDA">
        <w:rPr>
          <w:rFonts w:ascii="Aptos" w:eastAsia="Aptos" w:hAnsi="Aptos" w:cs="Aptos"/>
          <w:lang w:val="en-US"/>
        </w:rPr>
        <w:t xml:space="preserve"> of Social Services, Australia (2024) </w:t>
      </w:r>
      <w:hyperlink r:id="rId17">
        <w:r w:rsidRPr="413F02F0">
          <w:rPr>
            <w:rStyle w:val="Hyperlink"/>
            <w:rFonts w:ascii="Aptos" w:eastAsia="Aptos" w:hAnsi="Aptos" w:cs="Aptos"/>
            <w:i/>
            <w:iCs/>
            <w:lang w:val="en-US"/>
          </w:rPr>
          <w:t>Disability Employment Services – monthly profile, June 2024</w:t>
        </w:r>
      </w:hyperlink>
      <w:r w:rsidR="00FC3C74">
        <w:rPr>
          <w:rFonts w:ascii="Aptos" w:eastAsia="Aptos" w:hAnsi="Aptos" w:cs="Aptos"/>
          <w:i/>
          <w:iCs/>
          <w:lang w:val="en-US"/>
        </w:rPr>
        <w:t xml:space="preserve">. </w:t>
      </w:r>
      <w:r w:rsidRPr="77D71DDA">
        <w:rPr>
          <w:rFonts w:ascii="Aptos" w:eastAsia="Aptos" w:hAnsi="Aptos" w:cs="Aptos"/>
          <w:lang w:val="en-US"/>
        </w:rPr>
        <w:t>[Accessed 18 October 2024]</w:t>
      </w:r>
    </w:p>
    <w:p w14:paraId="0D7C4142" w14:textId="0081BD27" w:rsidR="4EFAB4FA" w:rsidRDefault="392EB5F6" w:rsidP="0097062A">
      <w:r w:rsidRPr="768F74CB">
        <w:t xml:space="preserve">NDIS (2024) </w:t>
      </w:r>
      <w:hyperlink r:id="rId18">
        <w:r w:rsidRPr="768F74CB">
          <w:rPr>
            <w:rStyle w:val="Hyperlink"/>
            <w:rFonts w:ascii="Aptos" w:eastAsia="Aptos" w:hAnsi="Aptos" w:cs="Aptos"/>
          </w:rPr>
          <w:t>NDIS Pricing Arrangements and Price Limits</w:t>
        </w:r>
      </w:hyperlink>
      <w:r w:rsidR="00FC3C74">
        <w:t xml:space="preserve">. </w:t>
      </w:r>
      <w:r w:rsidRPr="768F74CB">
        <w:t>[Accessed 31 October 2024]</w:t>
      </w:r>
    </w:p>
    <w:p w14:paraId="293158BA" w14:textId="77777777" w:rsidR="004316F3" w:rsidRPr="00FA45E7" w:rsidRDefault="00112998" w:rsidP="0097062A">
      <w:pPr>
        <w:rPr>
          <w:b/>
          <w:bCs/>
        </w:rPr>
      </w:pPr>
      <w:r w:rsidRPr="00FA45E7">
        <w:rPr>
          <w:b/>
          <w:bCs/>
        </w:rPr>
        <w:t>Publisher</w:t>
      </w:r>
    </w:p>
    <w:p w14:paraId="71C91E2D" w14:textId="77777777" w:rsidR="004316F3" w:rsidRDefault="00112998" w:rsidP="0097062A">
      <w:r w:rsidRPr="00112998">
        <w:t>National Disability Services</w:t>
      </w:r>
    </w:p>
    <w:p w14:paraId="124E9575" w14:textId="77777777" w:rsidR="004316F3" w:rsidRPr="00FA45E7" w:rsidRDefault="00112998" w:rsidP="0097062A">
      <w:pPr>
        <w:rPr>
          <w:b/>
          <w:bCs/>
        </w:rPr>
      </w:pPr>
      <w:r w:rsidRPr="00FA45E7">
        <w:rPr>
          <w:b/>
          <w:bCs/>
        </w:rPr>
        <w:t xml:space="preserve">Michael </w:t>
      </w:r>
      <w:proofErr w:type="spellStart"/>
      <w:r w:rsidRPr="00FA45E7">
        <w:rPr>
          <w:b/>
          <w:bCs/>
        </w:rPr>
        <w:t>Perusco</w:t>
      </w:r>
      <w:proofErr w:type="spellEnd"/>
    </w:p>
    <w:p w14:paraId="1BEC3D7D" w14:textId="77777777" w:rsidR="004316F3" w:rsidRDefault="00112998" w:rsidP="0097062A">
      <w:r w:rsidRPr="00112998">
        <w:t>CEO</w:t>
      </w:r>
    </w:p>
    <w:p w14:paraId="01CBED8A" w14:textId="676EACE8" w:rsidR="004316F3" w:rsidRDefault="00112998" w:rsidP="0097062A">
      <w:r w:rsidRPr="00112998">
        <w:t>03 8341 4343 michael.perusco@nds.org.au</w:t>
      </w:r>
    </w:p>
    <w:p w14:paraId="34534943" w14:textId="77777777" w:rsidR="004316F3" w:rsidRDefault="00112998" w:rsidP="00FA45E7">
      <w:pPr>
        <w:spacing w:before="360"/>
      </w:pPr>
      <w:r w:rsidRPr="00112998">
        <w:t xml:space="preserve">Copyright National </w:t>
      </w:r>
      <w:r w:rsidR="00296A9F" w:rsidRPr="00112998">
        <w:t>Disability</w:t>
      </w:r>
      <w:r w:rsidRPr="00112998">
        <w:t xml:space="preserve"> Services 2024. All rights reserved. No part of this publication may be reproduced, distributed or transmitted in any form without the prior written permission of the publisher. Except in the case of brief quotations embodied in critical reviews and certain other non-commercial uses permitted by copyright law.</w:t>
      </w:r>
    </w:p>
    <w:p w14:paraId="5F9FB543" w14:textId="77777777" w:rsidR="004316F3" w:rsidRPr="00FA45E7" w:rsidRDefault="00112998" w:rsidP="0097062A">
      <w:pPr>
        <w:rPr>
          <w:b/>
          <w:bCs/>
        </w:rPr>
      </w:pPr>
      <w:r w:rsidRPr="00FA45E7">
        <w:rPr>
          <w:b/>
          <w:bCs/>
        </w:rPr>
        <w:t>About National Disability Services</w:t>
      </w:r>
    </w:p>
    <w:p w14:paraId="642AFA60" w14:textId="77777777" w:rsidR="004316F3" w:rsidRDefault="00112998" w:rsidP="0097062A">
      <w:r w:rsidRPr="00112998">
        <w:t>National Disability Services is Australia’s peak body for non-government disability service organisations, representing over 1000 service providers. Collectively, NDS members operate several thousand services for Australians with all types of disability.</w:t>
      </w:r>
    </w:p>
    <w:p w14:paraId="68C06C0F" w14:textId="77777777" w:rsidR="004316F3" w:rsidRPr="00FA45E7" w:rsidRDefault="00112998" w:rsidP="0097062A">
      <w:pPr>
        <w:rPr>
          <w:b/>
          <w:bCs/>
        </w:rPr>
      </w:pPr>
      <w:r w:rsidRPr="00FA45E7">
        <w:rPr>
          <w:b/>
          <w:bCs/>
        </w:rPr>
        <w:t>Acknowledgements</w:t>
      </w:r>
    </w:p>
    <w:p w14:paraId="140E9C09" w14:textId="77777777" w:rsidR="004316F3" w:rsidRDefault="00112998" w:rsidP="0097062A">
      <w:r w:rsidRPr="00112998">
        <w:t>The survey and analysis for the NDS State of the Disability Sector report is conducted independently by the research team at the Centre for Disability Research and Policy at the University of Sydney, led by Professor Jen Smith-Merry.</w:t>
      </w:r>
    </w:p>
    <w:p w14:paraId="2136E33E" w14:textId="1C03FC5F" w:rsidR="00417F6B" w:rsidRPr="00FC3C74" w:rsidRDefault="00112998" w:rsidP="0097062A">
      <w:r w:rsidRPr="00112998">
        <w:t xml:space="preserve">Our thanks to all those providers who completed the survey and were willing to share their stories. Thank you also to </w:t>
      </w:r>
      <w:proofErr w:type="spellStart"/>
      <w:r w:rsidRPr="00112998">
        <w:t>Koorana</w:t>
      </w:r>
      <w:proofErr w:type="spellEnd"/>
      <w:r w:rsidRPr="00112998">
        <w:t>, NOSS, NWRH and Rise for contributing the photos used throughout this report.</w:t>
      </w:r>
    </w:p>
    <w:sectPr w:rsidR="00417F6B" w:rsidRPr="00FC3C74" w:rsidSect="00CD06C0">
      <w:headerReference w:type="default" r:id="rId19"/>
      <w:footerReference w:type="default" r:id="rId20"/>
      <w:pgSz w:w="11906" w:h="16838"/>
      <w:pgMar w:top="1440" w:right="1440" w:bottom="1440" w:left="1440" w:header="708" w:footer="708" w:gutter="0"/>
      <w:pgNumType w:start="3"/>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Beverley Streater" w:date="2024-11-23T12:56:00Z" w:initials="BS">
    <w:p w14:paraId="7617AC04" w14:textId="77777777" w:rsidR="00306B2E" w:rsidRDefault="00306B2E" w:rsidP="0097062A">
      <w:r>
        <w:rPr>
          <w:rStyle w:val="CommentReference"/>
        </w:rPr>
        <w:annotationRef/>
      </w:r>
      <w:r>
        <w:t>This is not part of the Hireup story but appears on the same page as a 'filler'. Need to check how to represent this in accessible doc.</w:t>
      </w:r>
    </w:p>
  </w:comment>
  <w:comment w:id="36" w:author="SuperScript" w:date="2024-11-28T14:39:00Z" w:initials="SS01-">
    <w:p w14:paraId="6487C7D6" w14:textId="77777777" w:rsidR="00306B2E" w:rsidRDefault="00306B2E" w:rsidP="0097062A">
      <w:pPr>
        <w:pStyle w:val="CommentText"/>
      </w:pPr>
      <w:r>
        <w:rPr>
          <w:rStyle w:val="CommentReference"/>
        </w:rPr>
        <w:annotationRef/>
      </w:r>
      <w:r>
        <w:t xml:space="preserve">Suggest moving it here, as accessible docs do not really need ‘fillers’. </w:t>
      </w:r>
    </w:p>
    <w:p w14:paraId="705609F7" w14:textId="77777777" w:rsidR="00306B2E" w:rsidRDefault="00306B2E" w:rsidP="0097062A">
      <w:pPr>
        <w:pStyle w:val="CommentText"/>
      </w:pPr>
    </w:p>
    <w:p w14:paraId="4E2F9D85" w14:textId="5E1A568D" w:rsidR="00306B2E" w:rsidRDefault="00306B2E" w:rsidP="0097062A">
      <w:pPr>
        <w:pStyle w:val="CommentText"/>
      </w:pPr>
      <w:r>
        <w:t>It seems to fit here, as a retrospective para under the pandemic heading?</w:t>
      </w:r>
    </w:p>
    <w:p w14:paraId="576D3117" w14:textId="77777777" w:rsidR="00306B2E" w:rsidRDefault="00306B2E" w:rsidP="0097062A">
      <w:pPr>
        <w:pStyle w:val="CommentText"/>
      </w:pPr>
    </w:p>
    <w:p w14:paraId="78F7028A" w14:textId="2D1C9CE9" w:rsidR="00306B2E" w:rsidRDefault="00306B2E" w:rsidP="0097062A">
      <w:pPr>
        <w:pStyle w:val="CommentText"/>
      </w:pPr>
      <w:r>
        <w:t>I gave</w:t>
      </w:r>
      <w:r w:rsidR="00CA28DE">
        <w:t xml:space="preserve"> </w:t>
      </w:r>
      <w:r>
        <w:t>it an H4 heading so it is clear that it comes under the H3 ‘Pandemic impacts’.</w:t>
      </w:r>
    </w:p>
  </w:comment>
  <w:comment w:id="44" w:author="SuperScript01" w:date="2024-11-30T17:03:00Z" w:initials="SS01-">
    <w:p w14:paraId="2BA3C8A8" w14:textId="612D7B35" w:rsidR="00225043" w:rsidRDefault="0059798F" w:rsidP="00225043">
      <w:pPr>
        <w:pStyle w:val="CommentText"/>
      </w:pPr>
      <w:r>
        <w:rPr>
          <w:rStyle w:val="CommentReference"/>
        </w:rPr>
        <w:annotationRef/>
      </w:r>
      <w:r>
        <w:rPr>
          <w:rStyle w:val="CommentReference"/>
        </w:rPr>
        <w:annotationRef/>
      </w:r>
      <w:r>
        <w:t>Word auto</w:t>
      </w:r>
      <w:r w:rsidR="004D1455">
        <w:t xml:space="preserve">-numbered </w:t>
      </w:r>
      <w:r>
        <w:t xml:space="preserve">captioning will not allow 14a, 14b etc, so I renumbered </w:t>
      </w:r>
      <w:r w:rsidR="00225043">
        <w:t xml:space="preserve">all tables </w:t>
      </w:r>
      <w:r w:rsidR="002C026F">
        <w:t>from here:</w:t>
      </w:r>
      <w:r>
        <w:t xml:space="preserve"> tables 14, 15 etc through to 37</w:t>
      </w:r>
    </w:p>
    <w:p w14:paraId="03C6F4B5" w14:textId="4EC49874" w:rsidR="0059798F" w:rsidRDefault="0059798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17AC04" w15:done="0"/>
  <w15:commentEx w15:paraId="78F7028A" w15:paraIdParent="7617AC04" w15:done="0"/>
  <w15:commentEx w15:paraId="03C6F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92E289" w16cex:dateUtc="2024-11-23T01:56:00Z"/>
  <w16cex:commentExtensible w16cex:durableId="25DB7CE7" w16cex:dateUtc="2024-11-28T03:39:00Z"/>
  <w16cex:commentExtensible w16cex:durableId="695B65F3" w16cex:dateUtc="2024-11-30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17AC04" w16cid:durableId="5992E289"/>
  <w16cid:commentId w16cid:paraId="78F7028A" w16cid:durableId="25DB7CE7"/>
  <w16cid:commentId w16cid:paraId="03C6F4B5" w16cid:durableId="695B6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F305F" w14:textId="77777777" w:rsidR="0086441A" w:rsidRDefault="0086441A" w:rsidP="0097062A">
      <w:r>
        <w:separator/>
      </w:r>
    </w:p>
  </w:endnote>
  <w:endnote w:type="continuationSeparator" w:id="0">
    <w:p w14:paraId="3C179CE7" w14:textId="77777777" w:rsidR="0086441A" w:rsidRDefault="0086441A" w:rsidP="0097062A">
      <w:r>
        <w:continuationSeparator/>
      </w:r>
    </w:p>
  </w:endnote>
  <w:endnote w:type="continuationNotice" w:id="1">
    <w:p w14:paraId="056ED62E" w14:textId="77777777" w:rsidR="0086441A" w:rsidRDefault="0086441A" w:rsidP="00970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D22CD" w14:textId="2C09FA9F" w:rsidR="00CD06C0" w:rsidRDefault="00CD06C0">
    <w:pPr>
      <w:pStyle w:val="Footer"/>
      <w:jc w:val="right"/>
    </w:pPr>
  </w:p>
  <w:p w14:paraId="0B6BFAB2" w14:textId="77777777" w:rsidR="00CD06C0" w:rsidRDefault="00CD06C0" w:rsidP="00970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883879"/>
      <w:docPartObj>
        <w:docPartGallery w:val="Page Numbers (Bottom of Page)"/>
        <w:docPartUnique/>
      </w:docPartObj>
    </w:sdtPr>
    <w:sdtEndPr>
      <w:rPr>
        <w:noProof/>
      </w:rPr>
    </w:sdtEndPr>
    <w:sdtContent>
      <w:p w14:paraId="2D8CDBB2" w14:textId="550FC8FF" w:rsidR="00CD06C0" w:rsidRDefault="00CD0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EBA98E" w14:textId="346BE2AF" w:rsidR="005854BE" w:rsidRDefault="005854BE" w:rsidP="0097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5DFF5" w14:textId="77777777" w:rsidR="0086441A" w:rsidRDefault="0086441A" w:rsidP="0097062A">
      <w:r>
        <w:separator/>
      </w:r>
    </w:p>
  </w:footnote>
  <w:footnote w:type="continuationSeparator" w:id="0">
    <w:p w14:paraId="5AB19520" w14:textId="77777777" w:rsidR="0086441A" w:rsidRDefault="0086441A" w:rsidP="0097062A">
      <w:r>
        <w:continuationSeparator/>
      </w:r>
    </w:p>
  </w:footnote>
  <w:footnote w:type="continuationNotice" w:id="1">
    <w:p w14:paraId="0EB04426" w14:textId="77777777" w:rsidR="0086441A" w:rsidRDefault="0086441A" w:rsidP="00970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CD06C0" w14:paraId="36C893B4" w14:textId="77777777" w:rsidTr="28329DDC">
      <w:trPr>
        <w:trHeight w:val="300"/>
      </w:trPr>
      <w:tc>
        <w:tcPr>
          <w:tcW w:w="3005" w:type="dxa"/>
        </w:tcPr>
        <w:p w14:paraId="212B7E63" w14:textId="77777777" w:rsidR="00CD06C0" w:rsidRDefault="00CD06C0" w:rsidP="0097062A">
          <w:pPr>
            <w:pStyle w:val="Header"/>
          </w:pPr>
        </w:p>
      </w:tc>
      <w:tc>
        <w:tcPr>
          <w:tcW w:w="3005" w:type="dxa"/>
        </w:tcPr>
        <w:p w14:paraId="1C9C66AC" w14:textId="77777777" w:rsidR="00CD06C0" w:rsidRDefault="00CD06C0" w:rsidP="0097062A">
          <w:pPr>
            <w:pStyle w:val="Header"/>
          </w:pPr>
        </w:p>
      </w:tc>
      <w:tc>
        <w:tcPr>
          <w:tcW w:w="3005" w:type="dxa"/>
        </w:tcPr>
        <w:p w14:paraId="371B8BA2" w14:textId="77777777" w:rsidR="00CD06C0" w:rsidRDefault="00CD06C0" w:rsidP="0097062A">
          <w:pPr>
            <w:pStyle w:val="Header"/>
          </w:pPr>
        </w:p>
      </w:tc>
    </w:tr>
  </w:tbl>
  <w:p w14:paraId="47D72FAA" w14:textId="77777777" w:rsidR="00CD06C0" w:rsidRDefault="00CD06C0" w:rsidP="00970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8329DDC" w14:paraId="571E3923" w14:textId="77777777" w:rsidTr="28329DDC">
      <w:trPr>
        <w:trHeight w:val="300"/>
      </w:trPr>
      <w:tc>
        <w:tcPr>
          <w:tcW w:w="3005" w:type="dxa"/>
        </w:tcPr>
        <w:p w14:paraId="5487B10A" w14:textId="2F4F9E5A" w:rsidR="28329DDC" w:rsidRDefault="28329DDC" w:rsidP="0097062A">
          <w:pPr>
            <w:pStyle w:val="Header"/>
          </w:pPr>
        </w:p>
      </w:tc>
      <w:tc>
        <w:tcPr>
          <w:tcW w:w="3005" w:type="dxa"/>
        </w:tcPr>
        <w:p w14:paraId="28FB87FE" w14:textId="460E252D" w:rsidR="28329DDC" w:rsidRDefault="28329DDC" w:rsidP="0097062A">
          <w:pPr>
            <w:pStyle w:val="Header"/>
          </w:pPr>
        </w:p>
      </w:tc>
      <w:tc>
        <w:tcPr>
          <w:tcW w:w="3005" w:type="dxa"/>
        </w:tcPr>
        <w:p w14:paraId="77454B6A" w14:textId="2BC967B1" w:rsidR="28329DDC" w:rsidRDefault="28329DDC" w:rsidP="0097062A">
          <w:pPr>
            <w:pStyle w:val="Header"/>
          </w:pPr>
        </w:p>
      </w:tc>
    </w:tr>
  </w:tbl>
  <w:p w14:paraId="3DB11F0F" w14:textId="64795190" w:rsidR="005854BE" w:rsidRDefault="005854BE" w:rsidP="0097062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JH53z2V" int2:invalidationBookmarkName="" int2:hashCode="kfO+O3pkwpGI2r" int2:id="t3sgRCL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026"/>
    <w:multiLevelType w:val="multilevel"/>
    <w:tmpl w:val="56A2F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5686B0"/>
    <w:multiLevelType w:val="hybridMultilevel"/>
    <w:tmpl w:val="FFFFFFFF"/>
    <w:lvl w:ilvl="0" w:tplc="C5701334">
      <w:start w:val="1"/>
      <w:numFmt w:val="bullet"/>
      <w:lvlText w:val="·"/>
      <w:lvlJc w:val="left"/>
      <w:pPr>
        <w:ind w:left="720" w:hanging="360"/>
      </w:pPr>
      <w:rPr>
        <w:rFonts w:ascii="Symbol" w:hAnsi="Symbol" w:hint="default"/>
      </w:rPr>
    </w:lvl>
    <w:lvl w:ilvl="1" w:tplc="2348CF2E">
      <w:start w:val="1"/>
      <w:numFmt w:val="bullet"/>
      <w:lvlText w:val="o"/>
      <w:lvlJc w:val="left"/>
      <w:pPr>
        <w:ind w:left="1440" w:hanging="360"/>
      </w:pPr>
      <w:rPr>
        <w:rFonts w:ascii="Courier New" w:hAnsi="Courier New" w:hint="default"/>
      </w:rPr>
    </w:lvl>
    <w:lvl w:ilvl="2" w:tplc="A3D2531E">
      <w:start w:val="1"/>
      <w:numFmt w:val="bullet"/>
      <w:lvlText w:val=""/>
      <w:lvlJc w:val="left"/>
      <w:pPr>
        <w:ind w:left="2160" w:hanging="360"/>
      </w:pPr>
      <w:rPr>
        <w:rFonts w:ascii="Wingdings" w:hAnsi="Wingdings" w:hint="default"/>
      </w:rPr>
    </w:lvl>
    <w:lvl w:ilvl="3" w:tplc="2B8E53D8">
      <w:start w:val="1"/>
      <w:numFmt w:val="bullet"/>
      <w:lvlText w:val=""/>
      <w:lvlJc w:val="left"/>
      <w:pPr>
        <w:ind w:left="2880" w:hanging="360"/>
      </w:pPr>
      <w:rPr>
        <w:rFonts w:ascii="Symbol" w:hAnsi="Symbol" w:hint="default"/>
      </w:rPr>
    </w:lvl>
    <w:lvl w:ilvl="4" w:tplc="F04055A2">
      <w:start w:val="1"/>
      <w:numFmt w:val="bullet"/>
      <w:lvlText w:val="o"/>
      <w:lvlJc w:val="left"/>
      <w:pPr>
        <w:ind w:left="3600" w:hanging="360"/>
      </w:pPr>
      <w:rPr>
        <w:rFonts w:ascii="Courier New" w:hAnsi="Courier New" w:hint="default"/>
      </w:rPr>
    </w:lvl>
    <w:lvl w:ilvl="5" w:tplc="B38699FA">
      <w:start w:val="1"/>
      <w:numFmt w:val="bullet"/>
      <w:lvlText w:val=""/>
      <w:lvlJc w:val="left"/>
      <w:pPr>
        <w:ind w:left="4320" w:hanging="360"/>
      </w:pPr>
      <w:rPr>
        <w:rFonts w:ascii="Wingdings" w:hAnsi="Wingdings" w:hint="default"/>
      </w:rPr>
    </w:lvl>
    <w:lvl w:ilvl="6" w:tplc="74B6D3D0">
      <w:start w:val="1"/>
      <w:numFmt w:val="bullet"/>
      <w:lvlText w:val=""/>
      <w:lvlJc w:val="left"/>
      <w:pPr>
        <w:ind w:left="5040" w:hanging="360"/>
      </w:pPr>
      <w:rPr>
        <w:rFonts w:ascii="Symbol" w:hAnsi="Symbol" w:hint="default"/>
      </w:rPr>
    </w:lvl>
    <w:lvl w:ilvl="7" w:tplc="55E25738">
      <w:start w:val="1"/>
      <w:numFmt w:val="bullet"/>
      <w:lvlText w:val="o"/>
      <w:lvlJc w:val="left"/>
      <w:pPr>
        <w:ind w:left="5760" w:hanging="360"/>
      </w:pPr>
      <w:rPr>
        <w:rFonts w:ascii="Courier New" w:hAnsi="Courier New" w:hint="default"/>
      </w:rPr>
    </w:lvl>
    <w:lvl w:ilvl="8" w:tplc="68DC2F1A">
      <w:start w:val="1"/>
      <w:numFmt w:val="bullet"/>
      <w:lvlText w:val=""/>
      <w:lvlJc w:val="left"/>
      <w:pPr>
        <w:ind w:left="6480" w:hanging="360"/>
      </w:pPr>
      <w:rPr>
        <w:rFonts w:ascii="Wingdings" w:hAnsi="Wingdings" w:hint="default"/>
      </w:rPr>
    </w:lvl>
  </w:abstractNum>
  <w:abstractNum w:abstractNumId="2" w15:restartNumberingAfterBreak="0">
    <w:nsid w:val="0466888D"/>
    <w:multiLevelType w:val="multilevel"/>
    <w:tmpl w:val="63900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33C57"/>
    <w:multiLevelType w:val="multilevel"/>
    <w:tmpl w:val="059C6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F371E"/>
    <w:multiLevelType w:val="hybridMultilevel"/>
    <w:tmpl w:val="FFFFFFFF"/>
    <w:lvl w:ilvl="0" w:tplc="B6F8C432">
      <w:start w:val="1"/>
      <w:numFmt w:val="bullet"/>
      <w:lvlText w:val=""/>
      <w:lvlJc w:val="left"/>
      <w:pPr>
        <w:ind w:left="720" w:hanging="360"/>
      </w:pPr>
      <w:rPr>
        <w:rFonts w:ascii="Symbol" w:hAnsi="Symbol" w:hint="default"/>
      </w:rPr>
    </w:lvl>
    <w:lvl w:ilvl="1" w:tplc="616E130E">
      <w:start w:val="1"/>
      <w:numFmt w:val="bullet"/>
      <w:lvlText w:val="o"/>
      <w:lvlJc w:val="left"/>
      <w:pPr>
        <w:ind w:left="1440" w:hanging="360"/>
      </w:pPr>
      <w:rPr>
        <w:rFonts w:ascii="Courier New" w:hAnsi="Courier New" w:hint="default"/>
      </w:rPr>
    </w:lvl>
    <w:lvl w:ilvl="2" w:tplc="5A00068A">
      <w:start w:val="1"/>
      <w:numFmt w:val="bullet"/>
      <w:lvlText w:val=""/>
      <w:lvlJc w:val="left"/>
      <w:pPr>
        <w:ind w:left="2160" w:hanging="360"/>
      </w:pPr>
      <w:rPr>
        <w:rFonts w:ascii="Wingdings" w:hAnsi="Wingdings" w:hint="default"/>
      </w:rPr>
    </w:lvl>
    <w:lvl w:ilvl="3" w:tplc="52B8C772">
      <w:start w:val="1"/>
      <w:numFmt w:val="bullet"/>
      <w:lvlText w:val=""/>
      <w:lvlJc w:val="left"/>
      <w:pPr>
        <w:ind w:left="2880" w:hanging="360"/>
      </w:pPr>
      <w:rPr>
        <w:rFonts w:ascii="Symbol" w:hAnsi="Symbol" w:hint="default"/>
      </w:rPr>
    </w:lvl>
    <w:lvl w:ilvl="4" w:tplc="1846AC5E">
      <w:start w:val="1"/>
      <w:numFmt w:val="bullet"/>
      <w:lvlText w:val="o"/>
      <w:lvlJc w:val="left"/>
      <w:pPr>
        <w:ind w:left="3600" w:hanging="360"/>
      </w:pPr>
      <w:rPr>
        <w:rFonts w:ascii="Courier New" w:hAnsi="Courier New" w:hint="default"/>
      </w:rPr>
    </w:lvl>
    <w:lvl w:ilvl="5" w:tplc="1C7E5B7A">
      <w:start w:val="1"/>
      <w:numFmt w:val="bullet"/>
      <w:lvlText w:val=""/>
      <w:lvlJc w:val="left"/>
      <w:pPr>
        <w:ind w:left="4320" w:hanging="360"/>
      </w:pPr>
      <w:rPr>
        <w:rFonts w:ascii="Wingdings" w:hAnsi="Wingdings" w:hint="default"/>
      </w:rPr>
    </w:lvl>
    <w:lvl w:ilvl="6" w:tplc="ADFAD472">
      <w:start w:val="1"/>
      <w:numFmt w:val="bullet"/>
      <w:lvlText w:val=""/>
      <w:lvlJc w:val="left"/>
      <w:pPr>
        <w:ind w:left="5040" w:hanging="360"/>
      </w:pPr>
      <w:rPr>
        <w:rFonts w:ascii="Symbol" w:hAnsi="Symbol" w:hint="default"/>
      </w:rPr>
    </w:lvl>
    <w:lvl w:ilvl="7" w:tplc="A5BC9240">
      <w:start w:val="1"/>
      <w:numFmt w:val="bullet"/>
      <w:lvlText w:val="o"/>
      <w:lvlJc w:val="left"/>
      <w:pPr>
        <w:ind w:left="5760" w:hanging="360"/>
      </w:pPr>
      <w:rPr>
        <w:rFonts w:ascii="Courier New" w:hAnsi="Courier New" w:hint="default"/>
      </w:rPr>
    </w:lvl>
    <w:lvl w:ilvl="8" w:tplc="400A1C22">
      <w:start w:val="1"/>
      <w:numFmt w:val="bullet"/>
      <w:lvlText w:val=""/>
      <w:lvlJc w:val="left"/>
      <w:pPr>
        <w:ind w:left="6480" w:hanging="360"/>
      </w:pPr>
      <w:rPr>
        <w:rFonts w:ascii="Wingdings" w:hAnsi="Wingdings" w:hint="default"/>
      </w:rPr>
    </w:lvl>
  </w:abstractNum>
  <w:abstractNum w:abstractNumId="5" w15:restartNumberingAfterBreak="0">
    <w:nsid w:val="0733DA0D"/>
    <w:multiLevelType w:val="hybridMultilevel"/>
    <w:tmpl w:val="FFFFFFFF"/>
    <w:lvl w:ilvl="0" w:tplc="A870811E">
      <w:start w:val="1"/>
      <w:numFmt w:val="bullet"/>
      <w:lvlText w:val="·"/>
      <w:lvlJc w:val="left"/>
      <w:pPr>
        <w:ind w:left="720" w:hanging="360"/>
      </w:pPr>
      <w:rPr>
        <w:rFonts w:ascii="Symbol" w:hAnsi="Symbol" w:hint="default"/>
      </w:rPr>
    </w:lvl>
    <w:lvl w:ilvl="1" w:tplc="F446A594">
      <w:start w:val="1"/>
      <w:numFmt w:val="bullet"/>
      <w:lvlText w:val="o"/>
      <w:lvlJc w:val="left"/>
      <w:pPr>
        <w:ind w:left="1440" w:hanging="360"/>
      </w:pPr>
      <w:rPr>
        <w:rFonts w:ascii="Courier New" w:hAnsi="Courier New" w:hint="default"/>
      </w:rPr>
    </w:lvl>
    <w:lvl w:ilvl="2" w:tplc="C31A6106">
      <w:start w:val="1"/>
      <w:numFmt w:val="bullet"/>
      <w:lvlText w:val=""/>
      <w:lvlJc w:val="left"/>
      <w:pPr>
        <w:ind w:left="2160" w:hanging="360"/>
      </w:pPr>
      <w:rPr>
        <w:rFonts w:ascii="Wingdings" w:hAnsi="Wingdings" w:hint="default"/>
      </w:rPr>
    </w:lvl>
    <w:lvl w:ilvl="3" w:tplc="993C1592">
      <w:start w:val="1"/>
      <w:numFmt w:val="bullet"/>
      <w:lvlText w:val=""/>
      <w:lvlJc w:val="left"/>
      <w:pPr>
        <w:ind w:left="2880" w:hanging="360"/>
      </w:pPr>
      <w:rPr>
        <w:rFonts w:ascii="Symbol" w:hAnsi="Symbol" w:hint="default"/>
      </w:rPr>
    </w:lvl>
    <w:lvl w:ilvl="4" w:tplc="C2E8DA3A">
      <w:start w:val="1"/>
      <w:numFmt w:val="bullet"/>
      <w:lvlText w:val="o"/>
      <w:lvlJc w:val="left"/>
      <w:pPr>
        <w:ind w:left="3600" w:hanging="360"/>
      </w:pPr>
      <w:rPr>
        <w:rFonts w:ascii="Courier New" w:hAnsi="Courier New" w:hint="default"/>
      </w:rPr>
    </w:lvl>
    <w:lvl w:ilvl="5" w:tplc="5E3C88A2">
      <w:start w:val="1"/>
      <w:numFmt w:val="bullet"/>
      <w:lvlText w:val=""/>
      <w:lvlJc w:val="left"/>
      <w:pPr>
        <w:ind w:left="4320" w:hanging="360"/>
      </w:pPr>
      <w:rPr>
        <w:rFonts w:ascii="Wingdings" w:hAnsi="Wingdings" w:hint="default"/>
      </w:rPr>
    </w:lvl>
    <w:lvl w:ilvl="6" w:tplc="59082564">
      <w:start w:val="1"/>
      <w:numFmt w:val="bullet"/>
      <w:lvlText w:val=""/>
      <w:lvlJc w:val="left"/>
      <w:pPr>
        <w:ind w:left="5040" w:hanging="360"/>
      </w:pPr>
      <w:rPr>
        <w:rFonts w:ascii="Symbol" w:hAnsi="Symbol" w:hint="default"/>
      </w:rPr>
    </w:lvl>
    <w:lvl w:ilvl="7" w:tplc="BC44FC4C">
      <w:start w:val="1"/>
      <w:numFmt w:val="bullet"/>
      <w:lvlText w:val="o"/>
      <w:lvlJc w:val="left"/>
      <w:pPr>
        <w:ind w:left="5760" w:hanging="360"/>
      </w:pPr>
      <w:rPr>
        <w:rFonts w:ascii="Courier New" w:hAnsi="Courier New" w:hint="default"/>
      </w:rPr>
    </w:lvl>
    <w:lvl w:ilvl="8" w:tplc="A3F0B78C">
      <w:start w:val="1"/>
      <w:numFmt w:val="bullet"/>
      <w:lvlText w:val=""/>
      <w:lvlJc w:val="left"/>
      <w:pPr>
        <w:ind w:left="6480" w:hanging="360"/>
      </w:pPr>
      <w:rPr>
        <w:rFonts w:ascii="Wingdings" w:hAnsi="Wingdings" w:hint="default"/>
      </w:rPr>
    </w:lvl>
  </w:abstractNum>
  <w:abstractNum w:abstractNumId="6" w15:restartNumberingAfterBreak="0">
    <w:nsid w:val="07590725"/>
    <w:multiLevelType w:val="hybridMultilevel"/>
    <w:tmpl w:val="92C2A644"/>
    <w:lvl w:ilvl="0" w:tplc="1AF0E3A0">
      <w:start w:val="1"/>
      <w:numFmt w:val="bullet"/>
      <w:lvlText w:val=""/>
      <w:lvlJc w:val="left"/>
      <w:pPr>
        <w:ind w:left="1440" w:hanging="360"/>
      </w:pPr>
      <w:rPr>
        <w:rFonts w:ascii="Symbol" w:hAnsi="Symbol"/>
      </w:rPr>
    </w:lvl>
    <w:lvl w:ilvl="1" w:tplc="F4FE63C4">
      <w:start w:val="1"/>
      <w:numFmt w:val="bullet"/>
      <w:lvlText w:val=""/>
      <w:lvlJc w:val="left"/>
      <w:pPr>
        <w:ind w:left="1440" w:hanging="360"/>
      </w:pPr>
      <w:rPr>
        <w:rFonts w:ascii="Symbol" w:hAnsi="Symbol"/>
      </w:rPr>
    </w:lvl>
    <w:lvl w:ilvl="2" w:tplc="D534AB7C">
      <w:start w:val="1"/>
      <w:numFmt w:val="bullet"/>
      <w:lvlText w:val=""/>
      <w:lvlJc w:val="left"/>
      <w:pPr>
        <w:ind w:left="1440" w:hanging="360"/>
      </w:pPr>
      <w:rPr>
        <w:rFonts w:ascii="Symbol" w:hAnsi="Symbol"/>
      </w:rPr>
    </w:lvl>
    <w:lvl w:ilvl="3" w:tplc="1FA43A72">
      <w:start w:val="1"/>
      <w:numFmt w:val="bullet"/>
      <w:lvlText w:val=""/>
      <w:lvlJc w:val="left"/>
      <w:pPr>
        <w:ind w:left="1440" w:hanging="360"/>
      </w:pPr>
      <w:rPr>
        <w:rFonts w:ascii="Symbol" w:hAnsi="Symbol"/>
      </w:rPr>
    </w:lvl>
    <w:lvl w:ilvl="4" w:tplc="7F86D4BE">
      <w:start w:val="1"/>
      <w:numFmt w:val="bullet"/>
      <w:lvlText w:val=""/>
      <w:lvlJc w:val="left"/>
      <w:pPr>
        <w:ind w:left="1440" w:hanging="360"/>
      </w:pPr>
      <w:rPr>
        <w:rFonts w:ascii="Symbol" w:hAnsi="Symbol"/>
      </w:rPr>
    </w:lvl>
    <w:lvl w:ilvl="5" w:tplc="2932A7CC">
      <w:start w:val="1"/>
      <w:numFmt w:val="bullet"/>
      <w:lvlText w:val=""/>
      <w:lvlJc w:val="left"/>
      <w:pPr>
        <w:ind w:left="1440" w:hanging="360"/>
      </w:pPr>
      <w:rPr>
        <w:rFonts w:ascii="Symbol" w:hAnsi="Symbol"/>
      </w:rPr>
    </w:lvl>
    <w:lvl w:ilvl="6" w:tplc="EB8CFD9E">
      <w:start w:val="1"/>
      <w:numFmt w:val="bullet"/>
      <w:lvlText w:val=""/>
      <w:lvlJc w:val="left"/>
      <w:pPr>
        <w:ind w:left="1440" w:hanging="360"/>
      </w:pPr>
      <w:rPr>
        <w:rFonts w:ascii="Symbol" w:hAnsi="Symbol"/>
      </w:rPr>
    </w:lvl>
    <w:lvl w:ilvl="7" w:tplc="4A54C882">
      <w:start w:val="1"/>
      <w:numFmt w:val="bullet"/>
      <w:lvlText w:val=""/>
      <w:lvlJc w:val="left"/>
      <w:pPr>
        <w:ind w:left="1440" w:hanging="360"/>
      </w:pPr>
      <w:rPr>
        <w:rFonts w:ascii="Symbol" w:hAnsi="Symbol"/>
      </w:rPr>
    </w:lvl>
    <w:lvl w:ilvl="8" w:tplc="D7E8A0C2">
      <w:start w:val="1"/>
      <w:numFmt w:val="bullet"/>
      <w:lvlText w:val=""/>
      <w:lvlJc w:val="left"/>
      <w:pPr>
        <w:ind w:left="1440" w:hanging="360"/>
      </w:pPr>
      <w:rPr>
        <w:rFonts w:ascii="Symbol" w:hAnsi="Symbol"/>
      </w:rPr>
    </w:lvl>
  </w:abstractNum>
  <w:abstractNum w:abstractNumId="7" w15:restartNumberingAfterBreak="0">
    <w:nsid w:val="08B23ACC"/>
    <w:multiLevelType w:val="multilevel"/>
    <w:tmpl w:val="5B52B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37A4CC"/>
    <w:multiLevelType w:val="multilevel"/>
    <w:tmpl w:val="F3FE0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5C536"/>
    <w:multiLevelType w:val="multilevel"/>
    <w:tmpl w:val="8B582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72ACCF"/>
    <w:multiLevelType w:val="multilevel"/>
    <w:tmpl w:val="81DA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E3334B"/>
    <w:multiLevelType w:val="hybridMultilevel"/>
    <w:tmpl w:val="E2B49618"/>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12" w15:restartNumberingAfterBreak="0">
    <w:nsid w:val="1754A1C2"/>
    <w:multiLevelType w:val="multilevel"/>
    <w:tmpl w:val="9EF6E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C6EDE"/>
    <w:multiLevelType w:val="hybridMultilevel"/>
    <w:tmpl w:val="A8844238"/>
    <w:lvl w:ilvl="0" w:tplc="CBD8C4D8">
      <w:start w:val="1"/>
      <w:numFmt w:val="decimal"/>
      <w:lvlText w:val="%1."/>
      <w:lvlJc w:val="left"/>
      <w:pPr>
        <w:ind w:left="720" w:hanging="360"/>
      </w:pPr>
    </w:lvl>
    <w:lvl w:ilvl="1" w:tplc="47AE2B20">
      <w:start w:val="1"/>
      <w:numFmt w:val="lowerLetter"/>
      <w:lvlText w:val="%2."/>
      <w:lvlJc w:val="left"/>
      <w:pPr>
        <w:ind w:left="1440" w:hanging="360"/>
      </w:pPr>
    </w:lvl>
    <w:lvl w:ilvl="2" w:tplc="C972B382">
      <w:start w:val="1"/>
      <w:numFmt w:val="lowerRoman"/>
      <w:lvlText w:val="%3."/>
      <w:lvlJc w:val="right"/>
      <w:pPr>
        <w:ind w:left="2160" w:hanging="180"/>
      </w:pPr>
    </w:lvl>
    <w:lvl w:ilvl="3" w:tplc="34DC5CCE">
      <w:start w:val="1"/>
      <w:numFmt w:val="decimal"/>
      <w:lvlText w:val="%4."/>
      <w:lvlJc w:val="left"/>
      <w:pPr>
        <w:ind w:left="2880" w:hanging="360"/>
      </w:pPr>
    </w:lvl>
    <w:lvl w:ilvl="4" w:tplc="A2B4863C">
      <w:start w:val="1"/>
      <w:numFmt w:val="lowerLetter"/>
      <w:lvlText w:val="%5."/>
      <w:lvlJc w:val="left"/>
      <w:pPr>
        <w:ind w:left="3600" w:hanging="360"/>
      </w:pPr>
    </w:lvl>
    <w:lvl w:ilvl="5" w:tplc="1610AAF4">
      <w:start w:val="1"/>
      <w:numFmt w:val="lowerRoman"/>
      <w:lvlText w:val="%6."/>
      <w:lvlJc w:val="right"/>
      <w:pPr>
        <w:ind w:left="4320" w:hanging="180"/>
      </w:pPr>
    </w:lvl>
    <w:lvl w:ilvl="6" w:tplc="DFB60648">
      <w:start w:val="1"/>
      <w:numFmt w:val="decimal"/>
      <w:lvlText w:val="%7."/>
      <w:lvlJc w:val="left"/>
      <w:pPr>
        <w:ind w:left="5040" w:hanging="360"/>
      </w:pPr>
    </w:lvl>
    <w:lvl w:ilvl="7" w:tplc="74CE9A4A">
      <w:start w:val="1"/>
      <w:numFmt w:val="lowerLetter"/>
      <w:lvlText w:val="%8."/>
      <w:lvlJc w:val="left"/>
      <w:pPr>
        <w:ind w:left="5760" w:hanging="360"/>
      </w:pPr>
    </w:lvl>
    <w:lvl w:ilvl="8" w:tplc="AD14590A">
      <w:start w:val="1"/>
      <w:numFmt w:val="lowerRoman"/>
      <w:lvlText w:val="%9."/>
      <w:lvlJc w:val="right"/>
      <w:pPr>
        <w:ind w:left="6480" w:hanging="180"/>
      </w:pPr>
    </w:lvl>
  </w:abstractNum>
  <w:abstractNum w:abstractNumId="14" w15:restartNumberingAfterBreak="0">
    <w:nsid w:val="1AB9B852"/>
    <w:multiLevelType w:val="hybridMultilevel"/>
    <w:tmpl w:val="FFFFFFFF"/>
    <w:lvl w:ilvl="0" w:tplc="22D474FE">
      <w:start w:val="1"/>
      <w:numFmt w:val="bullet"/>
      <w:lvlText w:val=""/>
      <w:lvlJc w:val="left"/>
      <w:pPr>
        <w:ind w:left="720" w:hanging="360"/>
      </w:pPr>
      <w:rPr>
        <w:rFonts w:ascii="Symbol" w:hAnsi="Symbol" w:hint="default"/>
      </w:rPr>
    </w:lvl>
    <w:lvl w:ilvl="1" w:tplc="CA941390">
      <w:start w:val="1"/>
      <w:numFmt w:val="bullet"/>
      <w:lvlText w:val="o"/>
      <w:lvlJc w:val="left"/>
      <w:pPr>
        <w:ind w:left="1440" w:hanging="360"/>
      </w:pPr>
      <w:rPr>
        <w:rFonts w:ascii="Courier New" w:hAnsi="Courier New" w:hint="default"/>
      </w:rPr>
    </w:lvl>
    <w:lvl w:ilvl="2" w:tplc="E7C652A2">
      <w:start w:val="1"/>
      <w:numFmt w:val="bullet"/>
      <w:lvlText w:val=""/>
      <w:lvlJc w:val="left"/>
      <w:pPr>
        <w:ind w:left="2160" w:hanging="360"/>
      </w:pPr>
      <w:rPr>
        <w:rFonts w:ascii="Wingdings" w:hAnsi="Wingdings" w:hint="default"/>
      </w:rPr>
    </w:lvl>
    <w:lvl w:ilvl="3" w:tplc="776E589E">
      <w:start w:val="1"/>
      <w:numFmt w:val="bullet"/>
      <w:lvlText w:val=""/>
      <w:lvlJc w:val="left"/>
      <w:pPr>
        <w:ind w:left="2880" w:hanging="360"/>
      </w:pPr>
      <w:rPr>
        <w:rFonts w:ascii="Symbol" w:hAnsi="Symbol" w:hint="default"/>
      </w:rPr>
    </w:lvl>
    <w:lvl w:ilvl="4" w:tplc="F998FB1E">
      <w:start w:val="1"/>
      <w:numFmt w:val="bullet"/>
      <w:lvlText w:val="o"/>
      <w:lvlJc w:val="left"/>
      <w:pPr>
        <w:ind w:left="3600" w:hanging="360"/>
      </w:pPr>
      <w:rPr>
        <w:rFonts w:ascii="Courier New" w:hAnsi="Courier New" w:hint="default"/>
      </w:rPr>
    </w:lvl>
    <w:lvl w:ilvl="5" w:tplc="6A5E0AA4">
      <w:start w:val="1"/>
      <w:numFmt w:val="bullet"/>
      <w:lvlText w:val=""/>
      <w:lvlJc w:val="left"/>
      <w:pPr>
        <w:ind w:left="4320" w:hanging="360"/>
      </w:pPr>
      <w:rPr>
        <w:rFonts w:ascii="Wingdings" w:hAnsi="Wingdings" w:hint="default"/>
      </w:rPr>
    </w:lvl>
    <w:lvl w:ilvl="6" w:tplc="876240EE">
      <w:start w:val="1"/>
      <w:numFmt w:val="bullet"/>
      <w:lvlText w:val=""/>
      <w:lvlJc w:val="left"/>
      <w:pPr>
        <w:ind w:left="5040" w:hanging="360"/>
      </w:pPr>
      <w:rPr>
        <w:rFonts w:ascii="Symbol" w:hAnsi="Symbol" w:hint="default"/>
      </w:rPr>
    </w:lvl>
    <w:lvl w:ilvl="7" w:tplc="7164A30C">
      <w:start w:val="1"/>
      <w:numFmt w:val="bullet"/>
      <w:lvlText w:val="o"/>
      <w:lvlJc w:val="left"/>
      <w:pPr>
        <w:ind w:left="5760" w:hanging="360"/>
      </w:pPr>
      <w:rPr>
        <w:rFonts w:ascii="Courier New" w:hAnsi="Courier New" w:hint="default"/>
      </w:rPr>
    </w:lvl>
    <w:lvl w:ilvl="8" w:tplc="B426A6F0">
      <w:start w:val="1"/>
      <w:numFmt w:val="bullet"/>
      <w:lvlText w:val=""/>
      <w:lvlJc w:val="left"/>
      <w:pPr>
        <w:ind w:left="6480" w:hanging="360"/>
      </w:pPr>
      <w:rPr>
        <w:rFonts w:ascii="Wingdings" w:hAnsi="Wingdings" w:hint="default"/>
      </w:rPr>
    </w:lvl>
  </w:abstractNum>
  <w:abstractNum w:abstractNumId="15" w15:restartNumberingAfterBreak="0">
    <w:nsid w:val="1C7886A2"/>
    <w:multiLevelType w:val="multilevel"/>
    <w:tmpl w:val="B49EC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D40461"/>
    <w:multiLevelType w:val="hybridMultilevel"/>
    <w:tmpl w:val="FFFFFFFF"/>
    <w:lvl w:ilvl="0" w:tplc="69A2FCA0">
      <w:start w:val="1"/>
      <w:numFmt w:val="bullet"/>
      <w:lvlText w:val="·"/>
      <w:lvlJc w:val="left"/>
      <w:pPr>
        <w:ind w:left="720" w:hanging="360"/>
      </w:pPr>
      <w:rPr>
        <w:rFonts w:ascii="Symbol" w:hAnsi="Symbol" w:hint="default"/>
      </w:rPr>
    </w:lvl>
    <w:lvl w:ilvl="1" w:tplc="1E7487F2">
      <w:start w:val="1"/>
      <w:numFmt w:val="bullet"/>
      <w:lvlText w:val="o"/>
      <w:lvlJc w:val="left"/>
      <w:pPr>
        <w:ind w:left="1440" w:hanging="360"/>
      </w:pPr>
      <w:rPr>
        <w:rFonts w:ascii="Courier New" w:hAnsi="Courier New" w:hint="default"/>
      </w:rPr>
    </w:lvl>
    <w:lvl w:ilvl="2" w:tplc="E182C266">
      <w:start w:val="1"/>
      <w:numFmt w:val="bullet"/>
      <w:lvlText w:val=""/>
      <w:lvlJc w:val="left"/>
      <w:pPr>
        <w:ind w:left="2160" w:hanging="360"/>
      </w:pPr>
      <w:rPr>
        <w:rFonts w:ascii="Wingdings" w:hAnsi="Wingdings" w:hint="default"/>
      </w:rPr>
    </w:lvl>
    <w:lvl w:ilvl="3" w:tplc="6F26630C">
      <w:start w:val="1"/>
      <w:numFmt w:val="bullet"/>
      <w:lvlText w:val=""/>
      <w:lvlJc w:val="left"/>
      <w:pPr>
        <w:ind w:left="2880" w:hanging="360"/>
      </w:pPr>
      <w:rPr>
        <w:rFonts w:ascii="Symbol" w:hAnsi="Symbol" w:hint="default"/>
      </w:rPr>
    </w:lvl>
    <w:lvl w:ilvl="4" w:tplc="2004A5C2">
      <w:start w:val="1"/>
      <w:numFmt w:val="bullet"/>
      <w:lvlText w:val="o"/>
      <w:lvlJc w:val="left"/>
      <w:pPr>
        <w:ind w:left="3600" w:hanging="360"/>
      </w:pPr>
      <w:rPr>
        <w:rFonts w:ascii="Courier New" w:hAnsi="Courier New" w:hint="default"/>
      </w:rPr>
    </w:lvl>
    <w:lvl w:ilvl="5" w:tplc="7B4A4CDA">
      <w:start w:val="1"/>
      <w:numFmt w:val="bullet"/>
      <w:lvlText w:val=""/>
      <w:lvlJc w:val="left"/>
      <w:pPr>
        <w:ind w:left="4320" w:hanging="360"/>
      </w:pPr>
      <w:rPr>
        <w:rFonts w:ascii="Wingdings" w:hAnsi="Wingdings" w:hint="default"/>
      </w:rPr>
    </w:lvl>
    <w:lvl w:ilvl="6" w:tplc="9F98F528">
      <w:start w:val="1"/>
      <w:numFmt w:val="bullet"/>
      <w:lvlText w:val=""/>
      <w:lvlJc w:val="left"/>
      <w:pPr>
        <w:ind w:left="5040" w:hanging="360"/>
      </w:pPr>
      <w:rPr>
        <w:rFonts w:ascii="Symbol" w:hAnsi="Symbol" w:hint="default"/>
      </w:rPr>
    </w:lvl>
    <w:lvl w:ilvl="7" w:tplc="868C3FB8">
      <w:start w:val="1"/>
      <w:numFmt w:val="bullet"/>
      <w:lvlText w:val="o"/>
      <w:lvlJc w:val="left"/>
      <w:pPr>
        <w:ind w:left="5760" w:hanging="360"/>
      </w:pPr>
      <w:rPr>
        <w:rFonts w:ascii="Courier New" w:hAnsi="Courier New" w:hint="default"/>
      </w:rPr>
    </w:lvl>
    <w:lvl w:ilvl="8" w:tplc="E98A116C">
      <w:start w:val="1"/>
      <w:numFmt w:val="bullet"/>
      <w:lvlText w:val=""/>
      <w:lvlJc w:val="left"/>
      <w:pPr>
        <w:ind w:left="6480" w:hanging="360"/>
      </w:pPr>
      <w:rPr>
        <w:rFonts w:ascii="Wingdings" w:hAnsi="Wingdings" w:hint="default"/>
      </w:rPr>
    </w:lvl>
  </w:abstractNum>
  <w:abstractNum w:abstractNumId="17" w15:restartNumberingAfterBreak="0">
    <w:nsid w:val="1FABB590"/>
    <w:multiLevelType w:val="multilevel"/>
    <w:tmpl w:val="6E0C24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0F5949"/>
    <w:multiLevelType w:val="hybridMultilevel"/>
    <w:tmpl w:val="FC70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8853E8"/>
    <w:multiLevelType w:val="multilevel"/>
    <w:tmpl w:val="0E507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B0544D7"/>
    <w:multiLevelType w:val="multilevel"/>
    <w:tmpl w:val="CA8E2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DFED14"/>
    <w:multiLevelType w:val="multilevel"/>
    <w:tmpl w:val="6B2C1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DC43C9"/>
    <w:multiLevelType w:val="multilevel"/>
    <w:tmpl w:val="C3842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CC5F32"/>
    <w:multiLevelType w:val="multilevel"/>
    <w:tmpl w:val="D71E1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8515AC"/>
    <w:multiLevelType w:val="multilevel"/>
    <w:tmpl w:val="4D24D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E733BA"/>
    <w:multiLevelType w:val="hybridMultilevel"/>
    <w:tmpl w:val="41D4D33E"/>
    <w:lvl w:ilvl="0" w:tplc="8DFC60E0">
      <w:start w:val="1"/>
      <w:numFmt w:val="bullet"/>
      <w:lvlText w:val=""/>
      <w:lvlJc w:val="left"/>
      <w:pPr>
        <w:ind w:left="1080" w:hanging="360"/>
      </w:pPr>
      <w:rPr>
        <w:rFonts w:ascii="Symbol" w:hAnsi="Symbol"/>
      </w:rPr>
    </w:lvl>
    <w:lvl w:ilvl="1" w:tplc="0DAE4D10">
      <w:start w:val="1"/>
      <w:numFmt w:val="bullet"/>
      <w:lvlText w:val=""/>
      <w:lvlJc w:val="left"/>
      <w:pPr>
        <w:ind w:left="1080" w:hanging="360"/>
      </w:pPr>
      <w:rPr>
        <w:rFonts w:ascii="Symbol" w:hAnsi="Symbol"/>
      </w:rPr>
    </w:lvl>
    <w:lvl w:ilvl="2" w:tplc="DE982A1E">
      <w:start w:val="1"/>
      <w:numFmt w:val="bullet"/>
      <w:lvlText w:val=""/>
      <w:lvlJc w:val="left"/>
      <w:pPr>
        <w:ind w:left="1080" w:hanging="360"/>
      </w:pPr>
      <w:rPr>
        <w:rFonts w:ascii="Symbol" w:hAnsi="Symbol"/>
      </w:rPr>
    </w:lvl>
    <w:lvl w:ilvl="3" w:tplc="4150F5FA">
      <w:start w:val="1"/>
      <w:numFmt w:val="bullet"/>
      <w:lvlText w:val=""/>
      <w:lvlJc w:val="left"/>
      <w:pPr>
        <w:ind w:left="1080" w:hanging="360"/>
      </w:pPr>
      <w:rPr>
        <w:rFonts w:ascii="Symbol" w:hAnsi="Symbol"/>
      </w:rPr>
    </w:lvl>
    <w:lvl w:ilvl="4" w:tplc="01E88022">
      <w:start w:val="1"/>
      <w:numFmt w:val="bullet"/>
      <w:lvlText w:val=""/>
      <w:lvlJc w:val="left"/>
      <w:pPr>
        <w:ind w:left="1080" w:hanging="360"/>
      </w:pPr>
      <w:rPr>
        <w:rFonts w:ascii="Symbol" w:hAnsi="Symbol"/>
      </w:rPr>
    </w:lvl>
    <w:lvl w:ilvl="5" w:tplc="1AEC20C4">
      <w:start w:val="1"/>
      <w:numFmt w:val="bullet"/>
      <w:lvlText w:val=""/>
      <w:lvlJc w:val="left"/>
      <w:pPr>
        <w:ind w:left="1080" w:hanging="360"/>
      </w:pPr>
      <w:rPr>
        <w:rFonts w:ascii="Symbol" w:hAnsi="Symbol"/>
      </w:rPr>
    </w:lvl>
    <w:lvl w:ilvl="6" w:tplc="792AE602">
      <w:start w:val="1"/>
      <w:numFmt w:val="bullet"/>
      <w:lvlText w:val=""/>
      <w:lvlJc w:val="left"/>
      <w:pPr>
        <w:ind w:left="1080" w:hanging="360"/>
      </w:pPr>
      <w:rPr>
        <w:rFonts w:ascii="Symbol" w:hAnsi="Symbol"/>
      </w:rPr>
    </w:lvl>
    <w:lvl w:ilvl="7" w:tplc="65AAB792">
      <w:start w:val="1"/>
      <w:numFmt w:val="bullet"/>
      <w:lvlText w:val=""/>
      <w:lvlJc w:val="left"/>
      <w:pPr>
        <w:ind w:left="1080" w:hanging="360"/>
      </w:pPr>
      <w:rPr>
        <w:rFonts w:ascii="Symbol" w:hAnsi="Symbol"/>
      </w:rPr>
    </w:lvl>
    <w:lvl w:ilvl="8" w:tplc="D1C2B110">
      <w:start w:val="1"/>
      <w:numFmt w:val="bullet"/>
      <w:lvlText w:val=""/>
      <w:lvlJc w:val="left"/>
      <w:pPr>
        <w:ind w:left="1080" w:hanging="360"/>
      </w:pPr>
      <w:rPr>
        <w:rFonts w:ascii="Symbol" w:hAnsi="Symbol"/>
      </w:rPr>
    </w:lvl>
  </w:abstractNum>
  <w:abstractNum w:abstractNumId="26" w15:restartNumberingAfterBreak="0">
    <w:nsid w:val="385917AD"/>
    <w:multiLevelType w:val="multilevel"/>
    <w:tmpl w:val="E2545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8E1111"/>
    <w:multiLevelType w:val="hybridMultilevel"/>
    <w:tmpl w:val="FFFFFFFF"/>
    <w:lvl w:ilvl="0" w:tplc="4468958A">
      <w:start w:val="1"/>
      <w:numFmt w:val="bullet"/>
      <w:lvlText w:val=""/>
      <w:lvlJc w:val="left"/>
      <w:pPr>
        <w:ind w:left="720" w:hanging="360"/>
      </w:pPr>
      <w:rPr>
        <w:rFonts w:ascii="Wingdings" w:hAnsi="Wingdings" w:hint="default"/>
      </w:rPr>
    </w:lvl>
    <w:lvl w:ilvl="1" w:tplc="479A3E28">
      <w:start w:val="1"/>
      <w:numFmt w:val="bullet"/>
      <w:lvlText w:val=""/>
      <w:lvlJc w:val="left"/>
      <w:pPr>
        <w:ind w:left="1440" w:hanging="360"/>
      </w:pPr>
      <w:rPr>
        <w:rFonts w:ascii="Wingdings" w:hAnsi="Wingdings" w:hint="default"/>
      </w:rPr>
    </w:lvl>
    <w:lvl w:ilvl="2" w:tplc="D614614E">
      <w:start w:val="1"/>
      <w:numFmt w:val="bullet"/>
      <w:lvlText w:val=""/>
      <w:lvlJc w:val="left"/>
      <w:pPr>
        <w:ind w:left="2160" w:hanging="360"/>
      </w:pPr>
      <w:rPr>
        <w:rFonts w:ascii="Wingdings" w:hAnsi="Wingdings" w:hint="default"/>
      </w:rPr>
    </w:lvl>
    <w:lvl w:ilvl="3" w:tplc="475AC880">
      <w:start w:val="1"/>
      <w:numFmt w:val="bullet"/>
      <w:lvlText w:val=""/>
      <w:lvlJc w:val="left"/>
      <w:pPr>
        <w:ind w:left="2880" w:hanging="360"/>
      </w:pPr>
      <w:rPr>
        <w:rFonts w:ascii="Wingdings" w:hAnsi="Wingdings" w:hint="default"/>
      </w:rPr>
    </w:lvl>
    <w:lvl w:ilvl="4" w:tplc="5BC2A384">
      <w:start w:val="1"/>
      <w:numFmt w:val="bullet"/>
      <w:lvlText w:val=""/>
      <w:lvlJc w:val="left"/>
      <w:pPr>
        <w:ind w:left="3600" w:hanging="360"/>
      </w:pPr>
      <w:rPr>
        <w:rFonts w:ascii="Wingdings" w:hAnsi="Wingdings" w:hint="default"/>
      </w:rPr>
    </w:lvl>
    <w:lvl w:ilvl="5" w:tplc="9E26BD14">
      <w:start w:val="1"/>
      <w:numFmt w:val="bullet"/>
      <w:lvlText w:val=""/>
      <w:lvlJc w:val="left"/>
      <w:pPr>
        <w:ind w:left="4320" w:hanging="360"/>
      </w:pPr>
      <w:rPr>
        <w:rFonts w:ascii="Wingdings" w:hAnsi="Wingdings" w:hint="default"/>
      </w:rPr>
    </w:lvl>
    <w:lvl w:ilvl="6" w:tplc="2CD8BB76">
      <w:start w:val="1"/>
      <w:numFmt w:val="bullet"/>
      <w:lvlText w:val=""/>
      <w:lvlJc w:val="left"/>
      <w:pPr>
        <w:ind w:left="5040" w:hanging="360"/>
      </w:pPr>
      <w:rPr>
        <w:rFonts w:ascii="Wingdings" w:hAnsi="Wingdings" w:hint="default"/>
      </w:rPr>
    </w:lvl>
    <w:lvl w:ilvl="7" w:tplc="0F6C2026">
      <w:start w:val="1"/>
      <w:numFmt w:val="bullet"/>
      <w:lvlText w:val=""/>
      <w:lvlJc w:val="left"/>
      <w:pPr>
        <w:ind w:left="5760" w:hanging="360"/>
      </w:pPr>
      <w:rPr>
        <w:rFonts w:ascii="Wingdings" w:hAnsi="Wingdings" w:hint="default"/>
      </w:rPr>
    </w:lvl>
    <w:lvl w:ilvl="8" w:tplc="BB88E4AC">
      <w:start w:val="1"/>
      <w:numFmt w:val="bullet"/>
      <w:lvlText w:val=""/>
      <w:lvlJc w:val="left"/>
      <w:pPr>
        <w:ind w:left="6480" w:hanging="360"/>
      </w:pPr>
      <w:rPr>
        <w:rFonts w:ascii="Wingdings" w:hAnsi="Wingdings" w:hint="default"/>
      </w:rPr>
    </w:lvl>
  </w:abstractNum>
  <w:abstractNum w:abstractNumId="28" w15:restartNumberingAfterBreak="0">
    <w:nsid w:val="3BC8B712"/>
    <w:multiLevelType w:val="multilevel"/>
    <w:tmpl w:val="5E402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D610511"/>
    <w:multiLevelType w:val="hybridMultilevel"/>
    <w:tmpl w:val="1024A79E"/>
    <w:lvl w:ilvl="0" w:tplc="E42049B6">
      <w:start w:val="1"/>
      <w:numFmt w:val="bullet"/>
      <w:lvlText w:val=""/>
      <w:lvlJc w:val="left"/>
      <w:pPr>
        <w:ind w:left="1080" w:hanging="360"/>
      </w:pPr>
      <w:rPr>
        <w:rFonts w:ascii="Symbol" w:hAnsi="Symbol"/>
      </w:rPr>
    </w:lvl>
    <w:lvl w:ilvl="1" w:tplc="1BB09FCA">
      <w:start w:val="1"/>
      <w:numFmt w:val="bullet"/>
      <w:lvlText w:val=""/>
      <w:lvlJc w:val="left"/>
      <w:pPr>
        <w:ind w:left="1080" w:hanging="360"/>
      </w:pPr>
      <w:rPr>
        <w:rFonts w:ascii="Symbol" w:hAnsi="Symbol"/>
      </w:rPr>
    </w:lvl>
    <w:lvl w:ilvl="2" w:tplc="BAB0719C">
      <w:start w:val="1"/>
      <w:numFmt w:val="bullet"/>
      <w:lvlText w:val=""/>
      <w:lvlJc w:val="left"/>
      <w:pPr>
        <w:ind w:left="1080" w:hanging="360"/>
      </w:pPr>
      <w:rPr>
        <w:rFonts w:ascii="Symbol" w:hAnsi="Symbol"/>
      </w:rPr>
    </w:lvl>
    <w:lvl w:ilvl="3" w:tplc="E3C49A40">
      <w:start w:val="1"/>
      <w:numFmt w:val="bullet"/>
      <w:lvlText w:val=""/>
      <w:lvlJc w:val="left"/>
      <w:pPr>
        <w:ind w:left="1080" w:hanging="360"/>
      </w:pPr>
      <w:rPr>
        <w:rFonts w:ascii="Symbol" w:hAnsi="Symbol"/>
      </w:rPr>
    </w:lvl>
    <w:lvl w:ilvl="4" w:tplc="2278D0B8">
      <w:start w:val="1"/>
      <w:numFmt w:val="bullet"/>
      <w:lvlText w:val=""/>
      <w:lvlJc w:val="left"/>
      <w:pPr>
        <w:ind w:left="1080" w:hanging="360"/>
      </w:pPr>
      <w:rPr>
        <w:rFonts w:ascii="Symbol" w:hAnsi="Symbol"/>
      </w:rPr>
    </w:lvl>
    <w:lvl w:ilvl="5" w:tplc="C114D6D2">
      <w:start w:val="1"/>
      <w:numFmt w:val="bullet"/>
      <w:lvlText w:val=""/>
      <w:lvlJc w:val="left"/>
      <w:pPr>
        <w:ind w:left="1080" w:hanging="360"/>
      </w:pPr>
      <w:rPr>
        <w:rFonts w:ascii="Symbol" w:hAnsi="Symbol"/>
      </w:rPr>
    </w:lvl>
    <w:lvl w:ilvl="6" w:tplc="E67CDCD6">
      <w:start w:val="1"/>
      <w:numFmt w:val="bullet"/>
      <w:lvlText w:val=""/>
      <w:lvlJc w:val="left"/>
      <w:pPr>
        <w:ind w:left="1080" w:hanging="360"/>
      </w:pPr>
      <w:rPr>
        <w:rFonts w:ascii="Symbol" w:hAnsi="Symbol"/>
      </w:rPr>
    </w:lvl>
    <w:lvl w:ilvl="7" w:tplc="974241C4">
      <w:start w:val="1"/>
      <w:numFmt w:val="bullet"/>
      <w:lvlText w:val=""/>
      <w:lvlJc w:val="left"/>
      <w:pPr>
        <w:ind w:left="1080" w:hanging="360"/>
      </w:pPr>
      <w:rPr>
        <w:rFonts w:ascii="Symbol" w:hAnsi="Symbol"/>
      </w:rPr>
    </w:lvl>
    <w:lvl w:ilvl="8" w:tplc="86807A12">
      <w:start w:val="1"/>
      <w:numFmt w:val="bullet"/>
      <w:lvlText w:val=""/>
      <w:lvlJc w:val="left"/>
      <w:pPr>
        <w:ind w:left="1080" w:hanging="360"/>
      </w:pPr>
      <w:rPr>
        <w:rFonts w:ascii="Symbol" w:hAnsi="Symbol"/>
      </w:rPr>
    </w:lvl>
  </w:abstractNum>
  <w:abstractNum w:abstractNumId="30" w15:restartNumberingAfterBreak="0">
    <w:nsid w:val="3F1D31E1"/>
    <w:multiLevelType w:val="hybridMultilevel"/>
    <w:tmpl w:val="FFFFFFFF"/>
    <w:lvl w:ilvl="0" w:tplc="779CF6FA">
      <w:start w:val="1"/>
      <w:numFmt w:val="bullet"/>
      <w:lvlText w:val="·"/>
      <w:lvlJc w:val="left"/>
      <w:pPr>
        <w:ind w:left="720" w:hanging="360"/>
      </w:pPr>
      <w:rPr>
        <w:rFonts w:ascii="Symbol" w:hAnsi="Symbol" w:hint="default"/>
      </w:rPr>
    </w:lvl>
    <w:lvl w:ilvl="1" w:tplc="8D0C9172">
      <w:start w:val="1"/>
      <w:numFmt w:val="bullet"/>
      <w:lvlText w:val="o"/>
      <w:lvlJc w:val="left"/>
      <w:pPr>
        <w:ind w:left="1440" w:hanging="360"/>
      </w:pPr>
      <w:rPr>
        <w:rFonts w:ascii="Courier New" w:hAnsi="Courier New" w:hint="default"/>
      </w:rPr>
    </w:lvl>
    <w:lvl w:ilvl="2" w:tplc="587A9514">
      <w:start w:val="1"/>
      <w:numFmt w:val="bullet"/>
      <w:lvlText w:val=""/>
      <w:lvlJc w:val="left"/>
      <w:pPr>
        <w:ind w:left="2160" w:hanging="360"/>
      </w:pPr>
      <w:rPr>
        <w:rFonts w:ascii="Wingdings" w:hAnsi="Wingdings" w:hint="default"/>
      </w:rPr>
    </w:lvl>
    <w:lvl w:ilvl="3" w:tplc="C19638A2">
      <w:start w:val="1"/>
      <w:numFmt w:val="bullet"/>
      <w:lvlText w:val=""/>
      <w:lvlJc w:val="left"/>
      <w:pPr>
        <w:ind w:left="2880" w:hanging="360"/>
      </w:pPr>
      <w:rPr>
        <w:rFonts w:ascii="Symbol" w:hAnsi="Symbol" w:hint="default"/>
      </w:rPr>
    </w:lvl>
    <w:lvl w:ilvl="4" w:tplc="E9AE3DB0">
      <w:start w:val="1"/>
      <w:numFmt w:val="bullet"/>
      <w:lvlText w:val="o"/>
      <w:lvlJc w:val="left"/>
      <w:pPr>
        <w:ind w:left="3600" w:hanging="360"/>
      </w:pPr>
      <w:rPr>
        <w:rFonts w:ascii="Courier New" w:hAnsi="Courier New" w:hint="default"/>
      </w:rPr>
    </w:lvl>
    <w:lvl w:ilvl="5" w:tplc="163C819E">
      <w:start w:val="1"/>
      <w:numFmt w:val="bullet"/>
      <w:lvlText w:val=""/>
      <w:lvlJc w:val="left"/>
      <w:pPr>
        <w:ind w:left="4320" w:hanging="360"/>
      </w:pPr>
      <w:rPr>
        <w:rFonts w:ascii="Wingdings" w:hAnsi="Wingdings" w:hint="default"/>
      </w:rPr>
    </w:lvl>
    <w:lvl w:ilvl="6" w:tplc="0C208294">
      <w:start w:val="1"/>
      <w:numFmt w:val="bullet"/>
      <w:lvlText w:val=""/>
      <w:lvlJc w:val="left"/>
      <w:pPr>
        <w:ind w:left="5040" w:hanging="360"/>
      </w:pPr>
      <w:rPr>
        <w:rFonts w:ascii="Symbol" w:hAnsi="Symbol" w:hint="default"/>
      </w:rPr>
    </w:lvl>
    <w:lvl w:ilvl="7" w:tplc="E2D8F4DA">
      <w:start w:val="1"/>
      <w:numFmt w:val="bullet"/>
      <w:lvlText w:val="o"/>
      <w:lvlJc w:val="left"/>
      <w:pPr>
        <w:ind w:left="5760" w:hanging="360"/>
      </w:pPr>
      <w:rPr>
        <w:rFonts w:ascii="Courier New" w:hAnsi="Courier New" w:hint="default"/>
      </w:rPr>
    </w:lvl>
    <w:lvl w:ilvl="8" w:tplc="092E96D4">
      <w:start w:val="1"/>
      <w:numFmt w:val="bullet"/>
      <w:lvlText w:val=""/>
      <w:lvlJc w:val="left"/>
      <w:pPr>
        <w:ind w:left="6480" w:hanging="360"/>
      </w:pPr>
      <w:rPr>
        <w:rFonts w:ascii="Wingdings" w:hAnsi="Wingdings" w:hint="default"/>
      </w:rPr>
    </w:lvl>
  </w:abstractNum>
  <w:abstractNum w:abstractNumId="31" w15:restartNumberingAfterBreak="0">
    <w:nsid w:val="3FD22D28"/>
    <w:multiLevelType w:val="hybridMultilevel"/>
    <w:tmpl w:val="0CC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798DBC"/>
    <w:multiLevelType w:val="hybridMultilevel"/>
    <w:tmpl w:val="FFFFFFFF"/>
    <w:lvl w:ilvl="0" w:tplc="EAD6B182">
      <w:start w:val="1"/>
      <w:numFmt w:val="bullet"/>
      <w:lvlText w:val=""/>
      <w:lvlJc w:val="left"/>
      <w:pPr>
        <w:ind w:left="720" w:hanging="360"/>
      </w:pPr>
      <w:rPr>
        <w:rFonts w:ascii="Wingdings" w:hAnsi="Wingdings" w:hint="default"/>
      </w:rPr>
    </w:lvl>
    <w:lvl w:ilvl="1" w:tplc="3670BC8E">
      <w:start w:val="1"/>
      <w:numFmt w:val="bullet"/>
      <w:lvlText w:val=""/>
      <w:lvlJc w:val="left"/>
      <w:pPr>
        <w:ind w:left="1440" w:hanging="360"/>
      </w:pPr>
      <w:rPr>
        <w:rFonts w:ascii="Wingdings" w:hAnsi="Wingdings" w:hint="default"/>
      </w:rPr>
    </w:lvl>
    <w:lvl w:ilvl="2" w:tplc="2D6852BA">
      <w:start w:val="1"/>
      <w:numFmt w:val="bullet"/>
      <w:lvlText w:val=""/>
      <w:lvlJc w:val="left"/>
      <w:pPr>
        <w:ind w:left="2160" w:hanging="360"/>
      </w:pPr>
      <w:rPr>
        <w:rFonts w:ascii="Wingdings" w:hAnsi="Wingdings" w:hint="default"/>
      </w:rPr>
    </w:lvl>
    <w:lvl w:ilvl="3" w:tplc="3DD235B4">
      <w:start w:val="1"/>
      <w:numFmt w:val="bullet"/>
      <w:lvlText w:val=""/>
      <w:lvlJc w:val="left"/>
      <w:pPr>
        <w:ind w:left="2880" w:hanging="360"/>
      </w:pPr>
      <w:rPr>
        <w:rFonts w:ascii="Wingdings" w:hAnsi="Wingdings" w:hint="default"/>
      </w:rPr>
    </w:lvl>
    <w:lvl w:ilvl="4" w:tplc="98823F6A">
      <w:start w:val="1"/>
      <w:numFmt w:val="bullet"/>
      <w:lvlText w:val=""/>
      <w:lvlJc w:val="left"/>
      <w:pPr>
        <w:ind w:left="3600" w:hanging="360"/>
      </w:pPr>
      <w:rPr>
        <w:rFonts w:ascii="Wingdings" w:hAnsi="Wingdings" w:hint="default"/>
      </w:rPr>
    </w:lvl>
    <w:lvl w:ilvl="5" w:tplc="3EFCB7A2">
      <w:start w:val="1"/>
      <w:numFmt w:val="bullet"/>
      <w:lvlText w:val=""/>
      <w:lvlJc w:val="left"/>
      <w:pPr>
        <w:ind w:left="4320" w:hanging="360"/>
      </w:pPr>
      <w:rPr>
        <w:rFonts w:ascii="Wingdings" w:hAnsi="Wingdings" w:hint="default"/>
      </w:rPr>
    </w:lvl>
    <w:lvl w:ilvl="6" w:tplc="3AAE952E">
      <w:start w:val="1"/>
      <w:numFmt w:val="bullet"/>
      <w:lvlText w:val=""/>
      <w:lvlJc w:val="left"/>
      <w:pPr>
        <w:ind w:left="5040" w:hanging="360"/>
      </w:pPr>
      <w:rPr>
        <w:rFonts w:ascii="Wingdings" w:hAnsi="Wingdings" w:hint="default"/>
      </w:rPr>
    </w:lvl>
    <w:lvl w:ilvl="7" w:tplc="7BE0A474">
      <w:start w:val="1"/>
      <w:numFmt w:val="bullet"/>
      <w:lvlText w:val=""/>
      <w:lvlJc w:val="left"/>
      <w:pPr>
        <w:ind w:left="5760" w:hanging="360"/>
      </w:pPr>
      <w:rPr>
        <w:rFonts w:ascii="Wingdings" w:hAnsi="Wingdings" w:hint="default"/>
      </w:rPr>
    </w:lvl>
    <w:lvl w:ilvl="8" w:tplc="98F0C9CC">
      <w:start w:val="1"/>
      <w:numFmt w:val="bullet"/>
      <w:lvlText w:val=""/>
      <w:lvlJc w:val="left"/>
      <w:pPr>
        <w:ind w:left="6480" w:hanging="360"/>
      </w:pPr>
      <w:rPr>
        <w:rFonts w:ascii="Wingdings" w:hAnsi="Wingdings" w:hint="default"/>
      </w:rPr>
    </w:lvl>
  </w:abstractNum>
  <w:abstractNum w:abstractNumId="33" w15:restartNumberingAfterBreak="0">
    <w:nsid w:val="42CF3772"/>
    <w:multiLevelType w:val="multilevel"/>
    <w:tmpl w:val="BCCC5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566067"/>
    <w:multiLevelType w:val="hybridMultilevel"/>
    <w:tmpl w:val="56DE1BD0"/>
    <w:lvl w:ilvl="0" w:tplc="4268F360">
      <w:start w:val="1"/>
      <w:numFmt w:val="decimal"/>
      <w:lvlText w:val="%1."/>
      <w:lvlJc w:val="left"/>
      <w:pPr>
        <w:ind w:left="1020" w:hanging="360"/>
      </w:pPr>
    </w:lvl>
    <w:lvl w:ilvl="1" w:tplc="5172D290">
      <w:start w:val="1"/>
      <w:numFmt w:val="decimal"/>
      <w:lvlText w:val="%2."/>
      <w:lvlJc w:val="left"/>
      <w:pPr>
        <w:ind w:left="1020" w:hanging="360"/>
      </w:pPr>
    </w:lvl>
    <w:lvl w:ilvl="2" w:tplc="64A6AACE">
      <w:start w:val="1"/>
      <w:numFmt w:val="decimal"/>
      <w:lvlText w:val="%3."/>
      <w:lvlJc w:val="left"/>
      <w:pPr>
        <w:ind w:left="1020" w:hanging="360"/>
      </w:pPr>
    </w:lvl>
    <w:lvl w:ilvl="3" w:tplc="3BFCC57E">
      <w:start w:val="1"/>
      <w:numFmt w:val="decimal"/>
      <w:lvlText w:val="%4."/>
      <w:lvlJc w:val="left"/>
      <w:pPr>
        <w:ind w:left="1020" w:hanging="360"/>
      </w:pPr>
    </w:lvl>
    <w:lvl w:ilvl="4" w:tplc="126C167A">
      <w:start w:val="1"/>
      <w:numFmt w:val="decimal"/>
      <w:lvlText w:val="%5."/>
      <w:lvlJc w:val="left"/>
      <w:pPr>
        <w:ind w:left="1020" w:hanging="360"/>
      </w:pPr>
    </w:lvl>
    <w:lvl w:ilvl="5" w:tplc="88BE5844">
      <w:start w:val="1"/>
      <w:numFmt w:val="decimal"/>
      <w:lvlText w:val="%6."/>
      <w:lvlJc w:val="left"/>
      <w:pPr>
        <w:ind w:left="1020" w:hanging="360"/>
      </w:pPr>
    </w:lvl>
    <w:lvl w:ilvl="6" w:tplc="8EF82A64">
      <w:start w:val="1"/>
      <w:numFmt w:val="decimal"/>
      <w:lvlText w:val="%7."/>
      <w:lvlJc w:val="left"/>
      <w:pPr>
        <w:ind w:left="1020" w:hanging="360"/>
      </w:pPr>
    </w:lvl>
    <w:lvl w:ilvl="7" w:tplc="B1FEE800">
      <w:start w:val="1"/>
      <w:numFmt w:val="decimal"/>
      <w:lvlText w:val="%8."/>
      <w:lvlJc w:val="left"/>
      <w:pPr>
        <w:ind w:left="1020" w:hanging="360"/>
      </w:pPr>
    </w:lvl>
    <w:lvl w:ilvl="8" w:tplc="03AAF6F4">
      <w:start w:val="1"/>
      <w:numFmt w:val="decimal"/>
      <w:lvlText w:val="%9."/>
      <w:lvlJc w:val="left"/>
      <w:pPr>
        <w:ind w:left="1020" w:hanging="360"/>
      </w:pPr>
    </w:lvl>
  </w:abstractNum>
  <w:abstractNum w:abstractNumId="35" w15:restartNumberingAfterBreak="0">
    <w:nsid w:val="4C126003"/>
    <w:multiLevelType w:val="multilevel"/>
    <w:tmpl w:val="A6188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1D37F2"/>
    <w:multiLevelType w:val="hybridMultilevel"/>
    <w:tmpl w:val="F190AD28"/>
    <w:lvl w:ilvl="0" w:tplc="71E4C8CA">
      <w:start w:val="1"/>
      <w:numFmt w:val="decimal"/>
      <w:lvlText w:val="%1."/>
      <w:lvlJc w:val="left"/>
      <w:pPr>
        <w:ind w:left="1020" w:hanging="360"/>
      </w:pPr>
    </w:lvl>
    <w:lvl w:ilvl="1" w:tplc="8CA88F68">
      <w:start w:val="1"/>
      <w:numFmt w:val="decimal"/>
      <w:lvlText w:val="%2."/>
      <w:lvlJc w:val="left"/>
      <w:pPr>
        <w:ind w:left="1020" w:hanging="360"/>
      </w:pPr>
    </w:lvl>
    <w:lvl w:ilvl="2" w:tplc="F53234EE">
      <w:start w:val="1"/>
      <w:numFmt w:val="decimal"/>
      <w:lvlText w:val="%3."/>
      <w:lvlJc w:val="left"/>
      <w:pPr>
        <w:ind w:left="1020" w:hanging="360"/>
      </w:pPr>
    </w:lvl>
    <w:lvl w:ilvl="3" w:tplc="F43C5882">
      <w:start w:val="1"/>
      <w:numFmt w:val="decimal"/>
      <w:lvlText w:val="%4."/>
      <w:lvlJc w:val="left"/>
      <w:pPr>
        <w:ind w:left="1020" w:hanging="360"/>
      </w:pPr>
    </w:lvl>
    <w:lvl w:ilvl="4" w:tplc="051A068E">
      <w:start w:val="1"/>
      <w:numFmt w:val="decimal"/>
      <w:lvlText w:val="%5."/>
      <w:lvlJc w:val="left"/>
      <w:pPr>
        <w:ind w:left="1020" w:hanging="360"/>
      </w:pPr>
    </w:lvl>
    <w:lvl w:ilvl="5" w:tplc="E60CE3D0">
      <w:start w:val="1"/>
      <w:numFmt w:val="decimal"/>
      <w:lvlText w:val="%6."/>
      <w:lvlJc w:val="left"/>
      <w:pPr>
        <w:ind w:left="1020" w:hanging="360"/>
      </w:pPr>
    </w:lvl>
    <w:lvl w:ilvl="6" w:tplc="4380D936">
      <w:start w:val="1"/>
      <w:numFmt w:val="decimal"/>
      <w:lvlText w:val="%7."/>
      <w:lvlJc w:val="left"/>
      <w:pPr>
        <w:ind w:left="1020" w:hanging="360"/>
      </w:pPr>
    </w:lvl>
    <w:lvl w:ilvl="7" w:tplc="7FA08CCE">
      <w:start w:val="1"/>
      <w:numFmt w:val="decimal"/>
      <w:lvlText w:val="%8."/>
      <w:lvlJc w:val="left"/>
      <w:pPr>
        <w:ind w:left="1020" w:hanging="360"/>
      </w:pPr>
    </w:lvl>
    <w:lvl w:ilvl="8" w:tplc="49A4777C">
      <w:start w:val="1"/>
      <w:numFmt w:val="decimal"/>
      <w:lvlText w:val="%9."/>
      <w:lvlJc w:val="left"/>
      <w:pPr>
        <w:ind w:left="1020" w:hanging="360"/>
      </w:pPr>
    </w:lvl>
  </w:abstractNum>
  <w:abstractNum w:abstractNumId="37" w15:restartNumberingAfterBreak="0">
    <w:nsid w:val="4D89E8DD"/>
    <w:multiLevelType w:val="multilevel"/>
    <w:tmpl w:val="88129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7E26E5"/>
    <w:multiLevelType w:val="multilevel"/>
    <w:tmpl w:val="CD18C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611F80"/>
    <w:multiLevelType w:val="hybridMultilevel"/>
    <w:tmpl w:val="3F785E56"/>
    <w:lvl w:ilvl="0" w:tplc="6BE83CFE">
      <w:start w:val="1"/>
      <w:numFmt w:val="bullet"/>
      <w:lvlText w:val="·"/>
      <w:lvlJc w:val="left"/>
      <w:pPr>
        <w:ind w:left="720" w:hanging="360"/>
      </w:pPr>
      <w:rPr>
        <w:rFonts w:ascii="Symbol" w:hAnsi="Symbol" w:hint="default"/>
      </w:rPr>
    </w:lvl>
    <w:lvl w:ilvl="1" w:tplc="40F691C0">
      <w:start w:val="1"/>
      <w:numFmt w:val="bullet"/>
      <w:lvlText w:val="o"/>
      <w:lvlJc w:val="left"/>
      <w:pPr>
        <w:ind w:left="1440" w:hanging="360"/>
      </w:pPr>
      <w:rPr>
        <w:rFonts w:ascii="Courier New" w:hAnsi="Courier New" w:hint="default"/>
      </w:rPr>
    </w:lvl>
    <w:lvl w:ilvl="2" w:tplc="06F649FE">
      <w:start w:val="1"/>
      <w:numFmt w:val="bullet"/>
      <w:lvlText w:val=""/>
      <w:lvlJc w:val="left"/>
      <w:pPr>
        <w:ind w:left="2160" w:hanging="360"/>
      </w:pPr>
      <w:rPr>
        <w:rFonts w:ascii="Wingdings" w:hAnsi="Wingdings" w:hint="default"/>
      </w:rPr>
    </w:lvl>
    <w:lvl w:ilvl="3" w:tplc="14C084FE">
      <w:start w:val="1"/>
      <w:numFmt w:val="bullet"/>
      <w:lvlText w:val=""/>
      <w:lvlJc w:val="left"/>
      <w:pPr>
        <w:ind w:left="2880" w:hanging="360"/>
      </w:pPr>
      <w:rPr>
        <w:rFonts w:ascii="Symbol" w:hAnsi="Symbol" w:hint="default"/>
      </w:rPr>
    </w:lvl>
    <w:lvl w:ilvl="4" w:tplc="91669376">
      <w:start w:val="1"/>
      <w:numFmt w:val="bullet"/>
      <w:lvlText w:val="o"/>
      <w:lvlJc w:val="left"/>
      <w:pPr>
        <w:ind w:left="3600" w:hanging="360"/>
      </w:pPr>
      <w:rPr>
        <w:rFonts w:ascii="Courier New" w:hAnsi="Courier New" w:hint="default"/>
      </w:rPr>
    </w:lvl>
    <w:lvl w:ilvl="5" w:tplc="89806E12">
      <w:start w:val="1"/>
      <w:numFmt w:val="bullet"/>
      <w:lvlText w:val=""/>
      <w:lvlJc w:val="left"/>
      <w:pPr>
        <w:ind w:left="4320" w:hanging="360"/>
      </w:pPr>
      <w:rPr>
        <w:rFonts w:ascii="Wingdings" w:hAnsi="Wingdings" w:hint="default"/>
      </w:rPr>
    </w:lvl>
    <w:lvl w:ilvl="6" w:tplc="3F2E4FC2">
      <w:start w:val="1"/>
      <w:numFmt w:val="bullet"/>
      <w:lvlText w:val=""/>
      <w:lvlJc w:val="left"/>
      <w:pPr>
        <w:ind w:left="5040" w:hanging="360"/>
      </w:pPr>
      <w:rPr>
        <w:rFonts w:ascii="Symbol" w:hAnsi="Symbol" w:hint="default"/>
      </w:rPr>
    </w:lvl>
    <w:lvl w:ilvl="7" w:tplc="237E086A">
      <w:start w:val="1"/>
      <w:numFmt w:val="bullet"/>
      <w:lvlText w:val="o"/>
      <w:lvlJc w:val="left"/>
      <w:pPr>
        <w:ind w:left="5760" w:hanging="360"/>
      </w:pPr>
      <w:rPr>
        <w:rFonts w:ascii="Courier New" w:hAnsi="Courier New" w:hint="default"/>
      </w:rPr>
    </w:lvl>
    <w:lvl w:ilvl="8" w:tplc="408A6E96">
      <w:start w:val="1"/>
      <w:numFmt w:val="bullet"/>
      <w:lvlText w:val=""/>
      <w:lvlJc w:val="left"/>
      <w:pPr>
        <w:ind w:left="6480" w:hanging="360"/>
      </w:pPr>
      <w:rPr>
        <w:rFonts w:ascii="Wingdings" w:hAnsi="Wingdings" w:hint="default"/>
      </w:rPr>
    </w:lvl>
  </w:abstractNum>
  <w:abstractNum w:abstractNumId="40" w15:restartNumberingAfterBreak="0">
    <w:nsid w:val="53336681"/>
    <w:multiLevelType w:val="multilevel"/>
    <w:tmpl w:val="0B204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AD1C69"/>
    <w:multiLevelType w:val="hybridMultilevel"/>
    <w:tmpl w:val="FFFFFFFF"/>
    <w:lvl w:ilvl="0" w:tplc="1CEA9964">
      <w:start w:val="1"/>
      <w:numFmt w:val="bullet"/>
      <w:lvlText w:val=""/>
      <w:lvlJc w:val="left"/>
      <w:pPr>
        <w:ind w:left="720" w:hanging="360"/>
      </w:pPr>
      <w:rPr>
        <w:rFonts w:ascii="Symbol" w:hAnsi="Symbol" w:hint="default"/>
      </w:rPr>
    </w:lvl>
    <w:lvl w:ilvl="1" w:tplc="FF7E2C00">
      <w:start w:val="1"/>
      <w:numFmt w:val="bullet"/>
      <w:lvlText w:val="o"/>
      <w:lvlJc w:val="left"/>
      <w:pPr>
        <w:ind w:left="1440" w:hanging="360"/>
      </w:pPr>
      <w:rPr>
        <w:rFonts w:ascii="Courier New" w:hAnsi="Courier New" w:hint="default"/>
      </w:rPr>
    </w:lvl>
    <w:lvl w:ilvl="2" w:tplc="54ACB43A">
      <w:start w:val="1"/>
      <w:numFmt w:val="bullet"/>
      <w:lvlText w:val=""/>
      <w:lvlJc w:val="left"/>
      <w:pPr>
        <w:ind w:left="2160" w:hanging="360"/>
      </w:pPr>
      <w:rPr>
        <w:rFonts w:ascii="Wingdings" w:hAnsi="Wingdings" w:hint="default"/>
      </w:rPr>
    </w:lvl>
    <w:lvl w:ilvl="3" w:tplc="CB6C860C">
      <w:start w:val="1"/>
      <w:numFmt w:val="bullet"/>
      <w:lvlText w:val=""/>
      <w:lvlJc w:val="left"/>
      <w:pPr>
        <w:ind w:left="2880" w:hanging="360"/>
      </w:pPr>
      <w:rPr>
        <w:rFonts w:ascii="Symbol" w:hAnsi="Symbol" w:hint="default"/>
      </w:rPr>
    </w:lvl>
    <w:lvl w:ilvl="4" w:tplc="FB4E6482">
      <w:start w:val="1"/>
      <w:numFmt w:val="bullet"/>
      <w:lvlText w:val="o"/>
      <w:lvlJc w:val="left"/>
      <w:pPr>
        <w:ind w:left="3600" w:hanging="360"/>
      </w:pPr>
      <w:rPr>
        <w:rFonts w:ascii="Courier New" w:hAnsi="Courier New" w:hint="default"/>
      </w:rPr>
    </w:lvl>
    <w:lvl w:ilvl="5" w:tplc="55CCECA4">
      <w:start w:val="1"/>
      <w:numFmt w:val="bullet"/>
      <w:lvlText w:val=""/>
      <w:lvlJc w:val="left"/>
      <w:pPr>
        <w:ind w:left="4320" w:hanging="360"/>
      </w:pPr>
      <w:rPr>
        <w:rFonts w:ascii="Wingdings" w:hAnsi="Wingdings" w:hint="default"/>
      </w:rPr>
    </w:lvl>
    <w:lvl w:ilvl="6" w:tplc="ECCAC59C">
      <w:start w:val="1"/>
      <w:numFmt w:val="bullet"/>
      <w:lvlText w:val=""/>
      <w:lvlJc w:val="left"/>
      <w:pPr>
        <w:ind w:left="5040" w:hanging="360"/>
      </w:pPr>
      <w:rPr>
        <w:rFonts w:ascii="Symbol" w:hAnsi="Symbol" w:hint="default"/>
      </w:rPr>
    </w:lvl>
    <w:lvl w:ilvl="7" w:tplc="994A2EE8">
      <w:start w:val="1"/>
      <w:numFmt w:val="bullet"/>
      <w:lvlText w:val="o"/>
      <w:lvlJc w:val="left"/>
      <w:pPr>
        <w:ind w:left="5760" w:hanging="360"/>
      </w:pPr>
      <w:rPr>
        <w:rFonts w:ascii="Courier New" w:hAnsi="Courier New" w:hint="default"/>
      </w:rPr>
    </w:lvl>
    <w:lvl w:ilvl="8" w:tplc="F6FE043C">
      <w:start w:val="1"/>
      <w:numFmt w:val="bullet"/>
      <w:lvlText w:val=""/>
      <w:lvlJc w:val="left"/>
      <w:pPr>
        <w:ind w:left="6480" w:hanging="360"/>
      </w:pPr>
      <w:rPr>
        <w:rFonts w:ascii="Wingdings" w:hAnsi="Wingdings" w:hint="default"/>
      </w:rPr>
    </w:lvl>
  </w:abstractNum>
  <w:abstractNum w:abstractNumId="42" w15:restartNumberingAfterBreak="0">
    <w:nsid w:val="5CE19A7A"/>
    <w:multiLevelType w:val="multilevel"/>
    <w:tmpl w:val="C2DCF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61EFBF"/>
    <w:multiLevelType w:val="hybridMultilevel"/>
    <w:tmpl w:val="FFFFFFFF"/>
    <w:lvl w:ilvl="0" w:tplc="4C782142">
      <w:start w:val="1"/>
      <w:numFmt w:val="bullet"/>
      <w:lvlText w:val=""/>
      <w:lvlJc w:val="left"/>
      <w:pPr>
        <w:ind w:left="720" w:hanging="360"/>
      </w:pPr>
      <w:rPr>
        <w:rFonts w:ascii="Symbol" w:hAnsi="Symbol" w:hint="default"/>
      </w:rPr>
    </w:lvl>
    <w:lvl w:ilvl="1" w:tplc="55DEAE8E">
      <w:start w:val="1"/>
      <w:numFmt w:val="bullet"/>
      <w:lvlText w:val="o"/>
      <w:lvlJc w:val="left"/>
      <w:pPr>
        <w:ind w:left="1440" w:hanging="360"/>
      </w:pPr>
      <w:rPr>
        <w:rFonts w:ascii="Courier New" w:hAnsi="Courier New" w:hint="default"/>
      </w:rPr>
    </w:lvl>
    <w:lvl w:ilvl="2" w:tplc="0DE2FDDE">
      <w:start w:val="1"/>
      <w:numFmt w:val="bullet"/>
      <w:lvlText w:val=""/>
      <w:lvlJc w:val="left"/>
      <w:pPr>
        <w:ind w:left="2160" w:hanging="360"/>
      </w:pPr>
      <w:rPr>
        <w:rFonts w:ascii="Wingdings" w:hAnsi="Wingdings" w:hint="default"/>
      </w:rPr>
    </w:lvl>
    <w:lvl w:ilvl="3" w:tplc="F5AA359E">
      <w:start w:val="1"/>
      <w:numFmt w:val="bullet"/>
      <w:lvlText w:val=""/>
      <w:lvlJc w:val="left"/>
      <w:pPr>
        <w:ind w:left="2880" w:hanging="360"/>
      </w:pPr>
      <w:rPr>
        <w:rFonts w:ascii="Symbol" w:hAnsi="Symbol" w:hint="default"/>
      </w:rPr>
    </w:lvl>
    <w:lvl w:ilvl="4" w:tplc="6E4E451C">
      <w:start w:val="1"/>
      <w:numFmt w:val="bullet"/>
      <w:lvlText w:val="o"/>
      <w:lvlJc w:val="left"/>
      <w:pPr>
        <w:ind w:left="3600" w:hanging="360"/>
      </w:pPr>
      <w:rPr>
        <w:rFonts w:ascii="Courier New" w:hAnsi="Courier New" w:hint="default"/>
      </w:rPr>
    </w:lvl>
    <w:lvl w:ilvl="5" w:tplc="A1F6EB8C">
      <w:start w:val="1"/>
      <w:numFmt w:val="bullet"/>
      <w:lvlText w:val=""/>
      <w:lvlJc w:val="left"/>
      <w:pPr>
        <w:ind w:left="4320" w:hanging="360"/>
      </w:pPr>
      <w:rPr>
        <w:rFonts w:ascii="Wingdings" w:hAnsi="Wingdings" w:hint="default"/>
      </w:rPr>
    </w:lvl>
    <w:lvl w:ilvl="6" w:tplc="E2D6BF70">
      <w:start w:val="1"/>
      <w:numFmt w:val="bullet"/>
      <w:lvlText w:val=""/>
      <w:lvlJc w:val="left"/>
      <w:pPr>
        <w:ind w:left="5040" w:hanging="360"/>
      </w:pPr>
      <w:rPr>
        <w:rFonts w:ascii="Symbol" w:hAnsi="Symbol" w:hint="default"/>
      </w:rPr>
    </w:lvl>
    <w:lvl w:ilvl="7" w:tplc="CD223C66">
      <w:start w:val="1"/>
      <w:numFmt w:val="bullet"/>
      <w:lvlText w:val="o"/>
      <w:lvlJc w:val="left"/>
      <w:pPr>
        <w:ind w:left="5760" w:hanging="360"/>
      </w:pPr>
      <w:rPr>
        <w:rFonts w:ascii="Courier New" w:hAnsi="Courier New" w:hint="default"/>
      </w:rPr>
    </w:lvl>
    <w:lvl w:ilvl="8" w:tplc="9C32BF74">
      <w:start w:val="1"/>
      <w:numFmt w:val="bullet"/>
      <w:lvlText w:val=""/>
      <w:lvlJc w:val="left"/>
      <w:pPr>
        <w:ind w:left="6480" w:hanging="360"/>
      </w:pPr>
      <w:rPr>
        <w:rFonts w:ascii="Wingdings" w:hAnsi="Wingdings" w:hint="default"/>
      </w:rPr>
    </w:lvl>
  </w:abstractNum>
  <w:abstractNum w:abstractNumId="44" w15:restartNumberingAfterBreak="0">
    <w:nsid w:val="5FFE50B8"/>
    <w:multiLevelType w:val="hybridMultilevel"/>
    <w:tmpl w:val="F83486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0D7DAF3"/>
    <w:multiLevelType w:val="multilevel"/>
    <w:tmpl w:val="769CA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9E5D1D"/>
    <w:multiLevelType w:val="hybridMultilevel"/>
    <w:tmpl w:val="FFFFFFFF"/>
    <w:lvl w:ilvl="0" w:tplc="51163C70">
      <w:start w:val="1"/>
      <w:numFmt w:val="bullet"/>
      <w:lvlText w:val=""/>
      <w:lvlJc w:val="left"/>
      <w:pPr>
        <w:ind w:left="1080" w:hanging="360"/>
      </w:pPr>
      <w:rPr>
        <w:rFonts w:ascii="Wingdings" w:hAnsi="Wingdings" w:hint="default"/>
      </w:rPr>
    </w:lvl>
    <w:lvl w:ilvl="1" w:tplc="088085D4">
      <w:start w:val="1"/>
      <w:numFmt w:val="bullet"/>
      <w:lvlText w:val=""/>
      <w:lvlJc w:val="left"/>
      <w:pPr>
        <w:ind w:left="1800" w:hanging="360"/>
      </w:pPr>
      <w:rPr>
        <w:rFonts w:ascii="Wingdings" w:hAnsi="Wingdings" w:hint="default"/>
      </w:rPr>
    </w:lvl>
    <w:lvl w:ilvl="2" w:tplc="80EEB78E">
      <w:start w:val="1"/>
      <w:numFmt w:val="bullet"/>
      <w:lvlText w:val=""/>
      <w:lvlJc w:val="left"/>
      <w:pPr>
        <w:ind w:left="2520" w:hanging="360"/>
      </w:pPr>
      <w:rPr>
        <w:rFonts w:ascii="Wingdings" w:hAnsi="Wingdings" w:hint="default"/>
      </w:rPr>
    </w:lvl>
    <w:lvl w:ilvl="3" w:tplc="7960E50C">
      <w:start w:val="1"/>
      <w:numFmt w:val="bullet"/>
      <w:lvlText w:val=""/>
      <w:lvlJc w:val="left"/>
      <w:pPr>
        <w:ind w:left="3240" w:hanging="360"/>
      </w:pPr>
      <w:rPr>
        <w:rFonts w:ascii="Wingdings" w:hAnsi="Wingdings" w:hint="default"/>
      </w:rPr>
    </w:lvl>
    <w:lvl w:ilvl="4" w:tplc="AB1493FA">
      <w:start w:val="1"/>
      <w:numFmt w:val="bullet"/>
      <w:lvlText w:val=""/>
      <w:lvlJc w:val="left"/>
      <w:pPr>
        <w:ind w:left="3960" w:hanging="360"/>
      </w:pPr>
      <w:rPr>
        <w:rFonts w:ascii="Wingdings" w:hAnsi="Wingdings" w:hint="default"/>
      </w:rPr>
    </w:lvl>
    <w:lvl w:ilvl="5" w:tplc="4AFE7A78">
      <w:start w:val="1"/>
      <w:numFmt w:val="bullet"/>
      <w:lvlText w:val=""/>
      <w:lvlJc w:val="left"/>
      <w:pPr>
        <w:ind w:left="4680" w:hanging="360"/>
      </w:pPr>
      <w:rPr>
        <w:rFonts w:ascii="Wingdings" w:hAnsi="Wingdings" w:hint="default"/>
      </w:rPr>
    </w:lvl>
    <w:lvl w:ilvl="6" w:tplc="B1BAC7D2">
      <w:start w:val="1"/>
      <w:numFmt w:val="bullet"/>
      <w:lvlText w:val=""/>
      <w:lvlJc w:val="left"/>
      <w:pPr>
        <w:ind w:left="5400" w:hanging="360"/>
      </w:pPr>
      <w:rPr>
        <w:rFonts w:ascii="Wingdings" w:hAnsi="Wingdings" w:hint="default"/>
      </w:rPr>
    </w:lvl>
    <w:lvl w:ilvl="7" w:tplc="3E48C798">
      <w:start w:val="1"/>
      <w:numFmt w:val="bullet"/>
      <w:lvlText w:val=""/>
      <w:lvlJc w:val="left"/>
      <w:pPr>
        <w:ind w:left="6120" w:hanging="360"/>
      </w:pPr>
      <w:rPr>
        <w:rFonts w:ascii="Wingdings" w:hAnsi="Wingdings" w:hint="default"/>
      </w:rPr>
    </w:lvl>
    <w:lvl w:ilvl="8" w:tplc="A3B60464">
      <w:start w:val="1"/>
      <w:numFmt w:val="bullet"/>
      <w:lvlText w:val=""/>
      <w:lvlJc w:val="left"/>
      <w:pPr>
        <w:ind w:left="6840" w:hanging="360"/>
      </w:pPr>
      <w:rPr>
        <w:rFonts w:ascii="Wingdings" w:hAnsi="Wingdings" w:hint="default"/>
      </w:rPr>
    </w:lvl>
  </w:abstractNum>
  <w:abstractNum w:abstractNumId="47" w15:restartNumberingAfterBreak="0">
    <w:nsid w:val="626E6EC4"/>
    <w:multiLevelType w:val="hybridMultilevel"/>
    <w:tmpl w:val="23106E32"/>
    <w:lvl w:ilvl="0" w:tplc="1368051E">
      <w:start w:val="1"/>
      <w:numFmt w:val="bullet"/>
      <w:lvlText w:val=""/>
      <w:lvlJc w:val="left"/>
      <w:pPr>
        <w:ind w:left="1440" w:hanging="360"/>
      </w:pPr>
      <w:rPr>
        <w:rFonts w:ascii="Symbol" w:hAnsi="Symbol"/>
      </w:rPr>
    </w:lvl>
    <w:lvl w:ilvl="1" w:tplc="CE563512">
      <w:start w:val="1"/>
      <w:numFmt w:val="bullet"/>
      <w:lvlText w:val=""/>
      <w:lvlJc w:val="left"/>
      <w:pPr>
        <w:ind w:left="1440" w:hanging="360"/>
      </w:pPr>
      <w:rPr>
        <w:rFonts w:ascii="Symbol" w:hAnsi="Symbol"/>
      </w:rPr>
    </w:lvl>
    <w:lvl w:ilvl="2" w:tplc="4A867606">
      <w:start w:val="1"/>
      <w:numFmt w:val="bullet"/>
      <w:lvlText w:val=""/>
      <w:lvlJc w:val="left"/>
      <w:pPr>
        <w:ind w:left="1440" w:hanging="360"/>
      </w:pPr>
      <w:rPr>
        <w:rFonts w:ascii="Symbol" w:hAnsi="Symbol"/>
      </w:rPr>
    </w:lvl>
    <w:lvl w:ilvl="3" w:tplc="4710B7CE">
      <w:start w:val="1"/>
      <w:numFmt w:val="bullet"/>
      <w:lvlText w:val=""/>
      <w:lvlJc w:val="left"/>
      <w:pPr>
        <w:ind w:left="1440" w:hanging="360"/>
      </w:pPr>
      <w:rPr>
        <w:rFonts w:ascii="Symbol" w:hAnsi="Symbol"/>
      </w:rPr>
    </w:lvl>
    <w:lvl w:ilvl="4" w:tplc="ECD8D264">
      <w:start w:val="1"/>
      <w:numFmt w:val="bullet"/>
      <w:lvlText w:val=""/>
      <w:lvlJc w:val="left"/>
      <w:pPr>
        <w:ind w:left="1440" w:hanging="360"/>
      </w:pPr>
      <w:rPr>
        <w:rFonts w:ascii="Symbol" w:hAnsi="Symbol"/>
      </w:rPr>
    </w:lvl>
    <w:lvl w:ilvl="5" w:tplc="E84C3D8C">
      <w:start w:val="1"/>
      <w:numFmt w:val="bullet"/>
      <w:lvlText w:val=""/>
      <w:lvlJc w:val="left"/>
      <w:pPr>
        <w:ind w:left="1440" w:hanging="360"/>
      </w:pPr>
      <w:rPr>
        <w:rFonts w:ascii="Symbol" w:hAnsi="Symbol"/>
      </w:rPr>
    </w:lvl>
    <w:lvl w:ilvl="6" w:tplc="91EED2F0">
      <w:start w:val="1"/>
      <w:numFmt w:val="bullet"/>
      <w:lvlText w:val=""/>
      <w:lvlJc w:val="left"/>
      <w:pPr>
        <w:ind w:left="1440" w:hanging="360"/>
      </w:pPr>
      <w:rPr>
        <w:rFonts w:ascii="Symbol" w:hAnsi="Symbol"/>
      </w:rPr>
    </w:lvl>
    <w:lvl w:ilvl="7" w:tplc="EC0639F8">
      <w:start w:val="1"/>
      <w:numFmt w:val="bullet"/>
      <w:lvlText w:val=""/>
      <w:lvlJc w:val="left"/>
      <w:pPr>
        <w:ind w:left="1440" w:hanging="360"/>
      </w:pPr>
      <w:rPr>
        <w:rFonts w:ascii="Symbol" w:hAnsi="Symbol"/>
      </w:rPr>
    </w:lvl>
    <w:lvl w:ilvl="8" w:tplc="55E25048">
      <w:start w:val="1"/>
      <w:numFmt w:val="bullet"/>
      <w:lvlText w:val=""/>
      <w:lvlJc w:val="left"/>
      <w:pPr>
        <w:ind w:left="1440" w:hanging="360"/>
      </w:pPr>
      <w:rPr>
        <w:rFonts w:ascii="Symbol" w:hAnsi="Symbol"/>
      </w:rPr>
    </w:lvl>
  </w:abstractNum>
  <w:abstractNum w:abstractNumId="48" w15:restartNumberingAfterBreak="0">
    <w:nsid w:val="63374A43"/>
    <w:multiLevelType w:val="multilevel"/>
    <w:tmpl w:val="EFC88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2EB6D1"/>
    <w:multiLevelType w:val="multilevel"/>
    <w:tmpl w:val="A4E08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CA19F1"/>
    <w:multiLevelType w:val="hybridMultilevel"/>
    <w:tmpl w:val="2DC07874"/>
    <w:lvl w:ilvl="0" w:tplc="9D7647BE">
      <w:start w:val="1"/>
      <w:numFmt w:val="decimal"/>
      <w:lvlText w:val="%1."/>
      <w:lvlJc w:val="left"/>
      <w:pPr>
        <w:ind w:left="720" w:hanging="360"/>
      </w:pPr>
    </w:lvl>
    <w:lvl w:ilvl="1" w:tplc="AE3242D0">
      <w:start w:val="1"/>
      <w:numFmt w:val="lowerLetter"/>
      <w:lvlText w:val="%2."/>
      <w:lvlJc w:val="left"/>
      <w:pPr>
        <w:ind w:left="1440" w:hanging="360"/>
      </w:pPr>
    </w:lvl>
    <w:lvl w:ilvl="2" w:tplc="B0FAF432">
      <w:start w:val="1"/>
      <w:numFmt w:val="lowerRoman"/>
      <w:lvlText w:val="%3."/>
      <w:lvlJc w:val="right"/>
      <w:pPr>
        <w:ind w:left="2160" w:hanging="180"/>
      </w:pPr>
    </w:lvl>
    <w:lvl w:ilvl="3" w:tplc="E0DE2CEE">
      <w:start w:val="1"/>
      <w:numFmt w:val="decimal"/>
      <w:lvlText w:val="%4."/>
      <w:lvlJc w:val="left"/>
      <w:pPr>
        <w:ind w:left="2880" w:hanging="360"/>
      </w:pPr>
    </w:lvl>
    <w:lvl w:ilvl="4" w:tplc="01E039E2">
      <w:start w:val="1"/>
      <w:numFmt w:val="lowerLetter"/>
      <w:lvlText w:val="%5."/>
      <w:lvlJc w:val="left"/>
      <w:pPr>
        <w:ind w:left="3600" w:hanging="360"/>
      </w:pPr>
    </w:lvl>
    <w:lvl w:ilvl="5" w:tplc="F1AC1788">
      <w:start w:val="1"/>
      <w:numFmt w:val="lowerRoman"/>
      <w:lvlText w:val="%6."/>
      <w:lvlJc w:val="right"/>
      <w:pPr>
        <w:ind w:left="4320" w:hanging="180"/>
      </w:pPr>
    </w:lvl>
    <w:lvl w:ilvl="6" w:tplc="0A34E8AE">
      <w:start w:val="1"/>
      <w:numFmt w:val="decimal"/>
      <w:lvlText w:val="%7."/>
      <w:lvlJc w:val="left"/>
      <w:pPr>
        <w:ind w:left="5040" w:hanging="360"/>
      </w:pPr>
    </w:lvl>
    <w:lvl w:ilvl="7" w:tplc="1F56A284">
      <w:start w:val="1"/>
      <w:numFmt w:val="lowerLetter"/>
      <w:lvlText w:val="%8."/>
      <w:lvlJc w:val="left"/>
      <w:pPr>
        <w:ind w:left="5760" w:hanging="360"/>
      </w:pPr>
    </w:lvl>
    <w:lvl w:ilvl="8" w:tplc="0B202CC4">
      <w:start w:val="1"/>
      <w:numFmt w:val="lowerRoman"/>
      <w:lvlText w:val="%9."/>
      <w:lvlJc w:val="right"/>
      <w:pPr>
        <w:ind w:left="6480" w:hanging="180"/>
      </w:pPr>
    </w:lvl>
  </w:abstractNum>
  <w:abstractNum w:abstractNumId="51" w15:restartNumberingAfterBreak="0">
    <w:nsid w:val="6C79A8C3"/>
    <w:multiLevelType w:val="multilevel"/>
    <w:tmpl w:val="9D8A6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D8A1F68"/>
    <w:multiLevelType w:val="hybridMultilevel"/>
    <w:tmpl w:val="202C900A"/>
    <w:lvl w:ilvl="0" w:tplc="63B448E2">
      <w:start w:val="1"/>
      <w:numFmt w:val="bullet"/>
      <w:lvlText w:val=""/>
      <w:lvlJc w:val="left"/>
      <w:pPr>
        <w:ind w:left="1080" w:hanging="360"/>
      </w:pPr>
      <w:rPr>
        <w:rFonts w:ascii="Symbol" w:hAnsi="Symbol"/>
      </w:rPr>
    </w:lvl>
    <w:lvl w:ilvl="1" w:tplc="7AEAF8AA">
      <w:start w:val="1"/>
      <w:numFmt w:val="bullet"/>
      <w:lvlText w:val=""/>
      <w:lvlJc w:val="left"/>
      <w:pPr>
        <w:ind w:left="1080" w:hanging="360"/>
      </w:pPr>
      <w:rPr>
        <w:rFonts w:ascii="Symbol" w:hAnsi="Symbol"/>
      </w:rPr>
    </w:lvl>
    <w:lvl w:ilvl="2" w:tplc="59860474">
      <w:start w:val="1"/>
      <w:numFmt w:val="bullet"/>
      <w:lvlText w:val=""/>
      <w:lvlJc w:val="left"/>
      <w:pPr>
        <w:ind w:left="1080" w:hanging="360"/>
      </w:pPr>
      <w:rPr>
        <w:rFonts w:ascii="Symbol" w:hAnsi="Symbol"/>
      </w:rPr>
    </w:lvl>
    <w:lvl w:ilvl="3" w:tplc="527E36CA">
      <w:start w:val="1"/>
      <w:numFmt w:val="bullet"/>
      <w:lvlText w:val=""/>
      <w:lvlJc w:val="left"/>
      <w:pPr>
        <w:ind w:left="1080" w:hanging="360"/>
      </w:pPr>
      <w:rPr>
        <w:rFonts w:ascii="Symbol" w:hAnsi="Symbol"/>
      </w:rPr>
    </w:lvl>
    <w:lvl w:ilvl="4" w:tplc="3A4C01BE">
      <w:start w:val="1"/>
      <w:numFmt w:val="bullet"/>
      <w:lvlText w:val=""/>
      <w:lvlJc w:val="left"/>
      <w:pPr>
        <w:ind w:left="1080" w:hanging="360"/>
      </w:pPr>
      <w:rPr>
        <w:rFonts w:ascii="Symbol" w:hAnsi="Symbol"/>
      </w:rPr>
    </w:lvl>
    <w:lvl w:ilvl="5" w:tplc="457285C8">
      <w:start w:val="1"/>
      <w:numFmt w:val="bullet"/>
      <w:lvlText w:val=""/>
      <w:lvlJc w:val="left"/>
      <w:pPr>
        <w:ind w:left="1080" w:hanging="360"/>
      </w:pPr>
      <w:rPr>
        <w:rFonts w:ascii="Symbol" w:hAnsi="Symbol"/>
      </w:rPr>
    </w:lvl>
    <w:lvl w:ilvl="6" w:tplc="D0D41180">
      <w:start w:val="1"/>
      <w:numFmt w:val="bullet"/>
      <w:lvlText w:val=""/>
      <w:lvlJc w:val="left"/>
      <w:pPr>
        <w:ind w:left="1080" w:hanging="360"/>
      </w:pPr>
      <w:rPr>
        <w:rFonts w:ascii="Symbol" w:hAnsi="Symbol"/>
      </w:rPr>
    </w:lvl>
    <w:lvl w:ilvl="7" w:tplc="DE3E6D12">
      <w:start w:val="1"/>
      <w:numFmt w:val="bullet"/>
      <w:lvlText w:val=""/>
      <w:lvlJc w:val="left"/>
      <w:pPr>
        <w:ind w:left="1080" w:hanging="360"/>
      </w:pPr>
      <w:rPr>
        <w:rFonts w:ascii="Symbol" w:hAnsi="Symbol"/>
      </w:rPr>
    </w:lvl>
    <w:lvl w:ilvl="8" w:tplc="CF6E4042">
      <w:start w:val="1"/>
      <w:numFmt w:val="bullet"/>
      <w:lvlText w:val=""/>
      <w:lvlJc w:val="left"/>
      <w:pPr>
        <w:ind w:left="1080" w:hanging="360"/>
      </w:pPr>
      <w:rPr>
        <w:rFonts w:ascii="Symbol" w:hAnsi="Symbol"/>
      </w:rPr>
    </w:lvl>
  </w:abstractNum>
  <w:abstractNum w:abstractNumId="53" w15:restartNumberingAfterBreak="0">
    <w:nsid w:val="6DC8C231"/>
    <w:multiLevelType w:val="hybridMultilevel"/>
    <w:tmpl w:val="FFFFFFFF"/>
    <w:lvl w:ilvl="0" w:tplc="A6520B6E">
      <w:start w:val="1"/>
      <w:numFmt w:val="bullet"/>
      <w:lvlText w:val="·"/>
      <w:lvlJc w:val="left"/>
      <w:pPr>
        <w:ind w:left="720" w:hanging="360"/>
      </w:pPr>
      <w:rPr>
        <w:rFonts w:ascii="Symbol" w:hAnsi="Symbol" w:hint="default"/>
      </w:rPr>
    </w:lvl>
    <w:lvl w:ilvl="1" w:tplc="C3CC0AB6">
      <w:start w:val="1"/>
      <w:numFmt w:val="bullet"/>
      <w:lvlText w:val="o"/>
      <w:lvlJc w:val="left"/>
      <w:pPr>
        <w:ind w:left="1440" w:hanging="360"/>
      </w:pPr>
      <w:rPr>
        <w:rFonts w:ascii="Courier New" w:hAnsi="Courier New" w:hint="default"/>
      </w:rPr>
    </w:lvl>
    <w:lvl w:ilvl="2" w:tplc="31FE6790">
      <w:start w:val="1"/>
      <w:numFmt w:val="bullet"/>
      <w:lvlText w:val=""/>
      <w:lvlJc w:val="left"/>
      <w:pPr>
        <w:ind w:left="2160" w:hanging="360"/>
      </w:pPr>
      <w:rPr>
        <w:rFonts w:ascii="Wingdings" w:hAnsi="Wingdings" w:hint="default"/>
      </w:rPr>
    </w:lvl>
    <w:lvl w:ilvl="3" w:tplc="80327F72">
      <w:start w:val="1"/>
      <w:numFmt w:val="bullet"/>
      <w:lvlText w:val=""/>
      <w:lvlJc w:val="left"/>
      <w:pPr>
        <w:ind w:left="2880" w:hanging="360"/>
      </w:pPr>
      <w:rPr>
        <w:rFonts w:ascii="Symbol" w:hAnsi="Symbol" w:hint="default"/>
      </w:rPr>
    </w:lvl>
    <w:lvl w:ilvl="4" w:tplc="CA246A66">
      <w:start w:val="1"/>
      <w:numFmt w:val="bullet"/>
      <w:lvlText w:val="o"/>
      <w:lvlJc w:val="left"/>
      <w:pPr>
        <w:ind w:left="3600" w:hanging="360"/>
      </w:pPr>
      <w:rPr>
        <w:rFonts w:ascii="Courier New" w:hAnsi="Courier New" w:hint="default"/>
      </w:rPr>
    </w:lvl>
    <w:lvl w:ilvl="5" w:tplc="48B81480">
      <w:start w:val="1"/>
      <w:numFmt w:val="bullet"/>
      <w:lvlText w:val=""/>
      <w:lvlJc w:val="left"/>
      <w:pPr>
        <w:ind w:left="4320" w:hanging="360"/>
      </w:pPr>
      <w:rPr>
        <w:rFonts w:ascii="Wingdings" w:hAnsi="Wingdings" w:hint="default"/>
      </w:rPr>
    </w:lvl>
    <w:lvl w:ilvl="6" w:tplc="DDFC91D6">
      <w:start w:val="1"/>
      <w:numFmt w:val="bullet"/>
      <w:lvlText w:val=""/>
      <w:lvlJc w:val="left"/>
      <w:pPr>
        <w:ind w:left="5040" w:hanging="360"/>
      </w:pPr>
      <w:rPr>
        <w:rFonts w:ascii="Symbol" w:hAnsi="Symbol" w:hint="default"/>
      </w:rPr>
    </w:lvl>
    <w:lvl w:ilvl="7" w:tplc="36780ED6">
      <w:start w:val="1"/>
      <w:numFmt w:val="bullet"/>
      <w:lvlText w:val="o"/>
      <w:lvlJc w:val="left"/>
      <w:pPr>
        <w:ind w:left="5760" w:hanging="360"/>
      </w:pPr>
      <w:rPr>
        <w:rFonts w:ascii="Courier New" w:hAnsi="Courier New" w:hint="default"/>
      </w:rPr>
    </w:lvl>
    <w:lvl w:ilvl="8" w:tplc="774C0832">
      <w:start w:val="1"/>
      <w:numFmt w:val="bullet"/>
      <w:lvlText w:val=""/>
      <w:lvlJc w:val="left"/>
      <w:pPr>
        <w:ind w:left="6480" w:hanging="360"/>
      </w:pPr>
      <w:rPr>
        <w:rFonts w:ascii="Wingdings" w:hAnsi="Wingdings" w:hint="default"/>
      </w:rPr>
    </w:lvl>
  </w:abstractNum>
  <w:abstractNum w:abstractNumId="54" w15:restartNumberingAfterBreak="0">
    <w:nsid w:val="7060182B"/>
    <w:multiLevelType w:val="multilevel"/>
    <w:tmpl w:val="70E20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1794461"/>
    <w:multiLevelType w:val="hybridMultilevel"/>
    <w:tmpl w:val="7910C082"/>
    <w:lvl w:ilvl="0" w:tplc="CA3CEA3A">
      <w:start w:val="1"/>
      <w:numFmt w:val="bullet"/>
      <w:lvlText w:val="·"/>
      <w:lvlJc w:val="left"/>
      <w:pPr>
        <w:ind w:left="720" w:hanging="360"/>
      </w:pPr>
      <w:rPr>
        <w:rFonts w:ascii="Symbol" w:hAnsi="Symbol" w:hint="default"/>
      </w:rPr>
    </w:lvl>
    <w:lvl w:ilvl="1" w:tplc="70806EC0">
      <w:start w:val="1"/>
      <w:numFmt w:val="bullet"/>
      <w:lvlText w:val="o"/>
      <w:lvlJc w:val="left"/>
      <w:pPr>
        <w:ind w:left="1440" w:hanging="360"/>
      </w:pPr>
      <w:rPr>
        <w:rFonts w:ascii="Courier New" w:hAnsi="Courier New" w:hint="default"/>
      </w:rPr>
    </w:lvl>
    <w:lvl w:ilvl="2" w:tplc="19B6DA92">
      <w:start w:val="1"/>
      <w:numFmt w:val="bullet"/>
      <w:lvlText w:val=""/>
      <w:lvlJc w:val="left"/>
      <w:pPr>
        <w:ind w:left="2160" w:hanging="360"/>
      </w:pPr>
      <w:rPr>
        <w:rFonts w:ascii="Wingdings" w:hAnsi="Wingdings" w:hint="default"/>
      </w:rPr>
    </w:lvl>
    <w:lvl w:ilvl="3" w:tplc="9A6ED702">
      <w:start w:val="1"/>
      <w:numFmt w:val="bullet"/>
      <w:lvlText w:val=""/>
      <w:lvlJc w:val="left"/>
      <w:pPr>
        <w:ind w:left="2880" w:hanging="360"/>
      </w:pPr>
      <w:rPr>
        <w:rFonts w:ascii="Symbol" w:hAnsi="Symbol" w:hint="default"/>
      </w:rPr>
    </w:lvl>
    <w:lvl w:ilvl="4" w:tplc="063432C8">
      <w:start w:val="1"/>
      <w:numFmt w:val="bullet"/>
      <w:lvlText w:val="o"/>
      <w:lvlJc w:val="left"/>
      <w:pPr>
        <w:ind w:left="3600" w:hanging="360"/>
      </w:pPr>
      <w:rPr>
        <w:rFonts w:ascii="Courier New" w:hAnsi="Courier New" w:hint="default"/>
      </w:rPr>
    </w:lvl>
    <w:lvl w:ilvl="5" w:tplc="9A66E668">
      <w:start w:val="1"/>
      <w:numFmt w:val="bullet"/>
      <w:lvlText w:val=""/>
      <w:lvlJc w:val="left"/>
      <w:pPr>
        <w:ind w:left="4320" w:hanging="360"/>
      </w:pPr>
      <w:rPr>
        <w:rFonts w:ascii="Wingdings" w:hAnsi="Wingdings" w:hint="default"/>
      </w:rPr>
    </w:lvl>
    <w:lvl w:ilvl="6" w:tplc="C38C714C">
      <w:start w:val="1"/>
      <w:numFmt w:val="bullet"/>
      <w:lvlText w:val=""/>
      <w:lvlJc w:val="left"/>
      <w:pPr>
        <w:ind w:left="5040" w:hanging="360"/>
      </w:pPr>
      <w:rPr>
        <w:rFonts w:ascii="Symbol" w:hAnsi="Symbol" w:hint="default"/>
      </w:rPr>
    </w:lvl>
    <w:lvl w:ilvl="7" w:tplc="FF74AFF8">
      <w:start w:val="1"/>
      <w:numFmt w:val="bullet"/>
      <w:lvlText w:val="o"/>
      <w:lvlJc w:val="left"/>
      <w:pPr>
        <w:ind w:left="5760" w:hanging="360"/>
      </w:pPr>
      <w:rPr>
        <w:rFonts w:ascii="Courier New" w:hAnsi="Courier New" w:hint="default"/>
      </w:rPr>
    </w:lvl>
    <w:lvl w:ilvl="8" w:tplc="68A8816A">
      <w:start w:val="1"/>
      <w:numFmt w:val="bullet"/>
      <w:lvlText w:val=""/>
      <w:lvlJc w:val="left"/>
      <w:pPr>
        <w:ind w:left="6480" w:hanging="360"/>
      </w:pPr>
      <w:rPr>
        <w:rFonts w:ascii="Wingdings" w:hAnsi="Wingdings" w:hint="default"/>
      </w:rPr>
    </w:lvl>
  </w:abstractNum>
  <w:abstractNum w:abstractNumId="56" w15:restartNumberingAfterBreak="0">
    <w:nsid w:val="74121DC6"/>
    <w:multiLevelType w:val="hybridMultilevel"/>
    <w:tmpl w:val="BE1EFA70"/>
    <w:lvl w:ilvl="0" w:tplc="37E22908">
      <w:start w:val="1"/>
      <w:numFmt w:val="bullet"/>
      <w:lvlText w:val=""/>
      <w:lvlJc w:val="left"/>
      <w:pPr>
        <w:ind w:left="1080" w:hanging="360"/>
      </w:pPr>
      <w:rPr>
        <w:rFonts w:ascii="Symbol" w:hAnsi="Symbol"/>
      </w:rPr>
    </w:lvl>
    <w:lvl w:ilvl="1" w:tplc="9E6404E8">
      <w:start w:val="1"/>
      <w:numFmt w:val="bullet"/>
      <w:lvlText w:val=""/>
      <w:lvlJc w:val="left"/>
      <w:pPr>
        <w:ind w:left="1080" w:hanging="360"/>
      </w:pPr>
      <w:rPr>
        <w:rFonts w:ascii="Symbol" w:hAnsi="Symbol"/>
      </w:rPr>
    </w:lvl>
    <w:lvl w:ilvl="2" w:tplc="AA5AD9F6">
      <w:start w:val="1"/>
      <w:numFmt w:val="bullet"/>
      <w:lvlText w:val=""/>
      <w:lvlJc w:val="left"/>
      <w:pPr>
        <w:ind w:left="1080" w:hanging="360"/>
      </w:pPr>
      <w:rPr>
        <w:rFonts w:ascii="Symbol" w:hAnsi="Symbol"/>
      </w:rPr>
    </w:lvl>
    <w:lvl w:ilvl="3" w:tplc="6C92A50A">
      <w:start w:val="1"/>
      <w:numFmt w:val="bullet"/>
      <w:lvlText w:val=""/>
      <w:lvlJc w:val="left"/>
      <w:pPr>
        <w:ind w:left="1080" w:hanging="360"/>
      </w:pPr>
      <w:rPr>
        <w:rFonts w:ascii="Symbol" w:hAnsi="Symbol"/>
      </w:rPr>
    </w:lvl>
    <w:lvl w:ilvl="4" w:tplc="135C1182">
      <w:start w:val="1"/>
      <w:numFmt w:val="bullet"/>
      <w:lvlText w:val=""/>
      <w:lvlJc w:val="left"/>
      <w:pPr>
        <w:ind w:left="1080" w:hanging="360"/>
      </w:pPr>
      <w:rPr>
        <w:rFonts w:ascii="Symbol" w:hAnsi="Symbol"/>
      </w:rPr>
    </w:lvl>
    <w:lvl w:ilvl="5" w:tplc="2D7EC988">
      <w:start w:val="1"/>
      <w:numFmt w:val="bullet"/>
      <w:lvlText w:val=""/>
      <w:lvlJc w:val="left"/>
      <w:pPr>
        <w:ind w:left="1080" w:hanging="360"/>
      </w:pPr>
      <w:rPr>
        <w:rFonts w:ascii="Symbol" w:hAnsi="Symbol"/>
      </w:rPr>
    </w:lvl>
    <w:lvl w:ilvl="6" w:tplc="0E44C65E">
      <w:start w:val="1"/>
      <w:numFmt w:val="bullet"/>
      <w:lvlText w:val=""/>
      <w:lvlJc w:val="left"/>
      <w:pPr>
        <w:ind w:left="1080" w:hanging="360"/>
      </w:pPr>
      <w:rPr>
        <w:rFonts w:ascii="Symbol" w:hAnsi="Symbol"/>
      </w:rPr>
    </w:lvl>
    <w:lvl w:ilvl="7" w:tplc="7C9E5ABE">
      <w:start w:val="1"/>
      <w:numFmt w:val="bullet"/>
      <w:lvlText w:val=""/>
      <w:lvlJc w:val="left"/>
      <w:pPr>
        <w:ind w:left="1080" w:hanging="360"/>
      </w:pPr>
      <w:rPr>
        <w:rFonts w:ascii="Symbol" w:hAnsi="Symbol"/>
      </w:rPr>
    </w:lvl>
    <w:lvl w:ilvl="8" w:tplc="9A486C2E">
      <w:start w:val="1"/>
      <w:numFmt w:val="bullet"/>
      <w:lvlText w:val=""/>
      <w:lvlJc w:val="left"/>
      <w:pPr>
        <w:ind w:left="1080" w:hanging="360"/>
      </w:pPr>
      <w:rPr>
        <w:rFonts w:ascii="Symbol" w:hAnsi="Symbol"/>
      </w:rPr>
    </w:lvl>
  </w:abstractNum>
  <w:abstractNum w:abstractNumId="57" w15:restartNumberingAfterBreak="0">
    <w:nsid w:val="748E6414"/>
    <w:multiLevelType w:val="multilevel"/>
    <w:tmpl w:val="45808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70642344">
    <w:abstractNumId w:val="26"/>
  </w:num>
  <w:num w:numId="2" w16cid:durableId="1503811261">
    <w:abstractNumId w:val="38"/>
  </w:num>
  <w:num w:numId="3" w16cid:durableId="1717195853">
    <w:abstractNumId w:val="23"/>
  </w:num>
  <w:num w:numId="4" w16cid:durableId="1148746257">
    <w:abstractNumId w:val="7"/>
  </w:num>
  <w:num w:numId="5" w16cid:durableId="1381512821">
    <w:abstractNumId w:val="33"/>
  </w:num>
  <w:num w:numId="6" w16cid:durableId="177156331">
    <w:abstractNumId w:val="2"/>
  </w:num>
  <w:num w:numId="7" w16cid:durableId="1730225122">
    <w:abstractNumId w:val="19"/>
  </w:num>
  <w:num w:numId="8" w16cid:durableId="723479855">
    <w:abstractNumId w:val="57"/>
  </w:num>
  <w:num w:numId="9" w16cid:durableId="349524849">
    <w:abstractNumId w:val="17"/>
  </w:num>
  <w:num w:numId="10" w16cid:durableId="96292981">
    <w:abstractNumId w:val="48"/>
  </w:num>
  <w:num w:numId="11" w16cid:durableId="406654238">
    <w:abstractNumId w:val="49"/>
  </w:num>
  <w:num w:numId="12" w16cid:durableId="115294707">
    <w:abstractNumId w:val="0"/>
  </w:num>
  <w:num w:numId="13" w16cid:durableId="514419042">
    <w:abstractNumId w:val="40"/>
  </w:num>
  <w:num w:numId="14" w16cid:durableId="1397048641">
    <w:abstractNumId w:val="20"/>
  </w:num>
  <w:num w:numId="15" w16cid:durableId="358317858">
    <w:abstractNumId w:val="12"/>
  </w:num>
  <w:num w:numId="16" w16cid:durableId="991061525">
    <w:abstractNumId w:val="21"/>
  </w:num>
  <w:num w:numId="17" w16cid:durableId="1308976212">
    <w:abstractNumId w:val="15"/>
  </w:num>
  <w:num w:numId="18" w16cid:durableId="806817963">
    <w:abstractNumId w:val="22"/>
  </w:num>
  <w:num w:numId="19" w16cid:durableId="428550016">
    <w:abstractNumId w:val="10"/>
  </w:num>
  <w:num w:numId="20" w16cid:durableId="2014526776">
    <w:abstractNumId w:val="45"/>
  </w:num>
  <w:num w:numId="21" w16cid:durableId="963925011">
    <w:abstractNumId w:val="28"/>
  </w:num>
  <w:num w:numId="22" w16cid:durableId="410583745">
    <w:abstractNumId w:val="51"/>
  </w:num>
  <w:num w:numId="23" w16cid:durableId="1462723499">
    <w:abstractNumId w:val="8"/>
  </w:num>
  <w:num w:numId="24" w16cid:durableId="1481918312">
    <w:abstractNumId w:val="24"/>
  </w:num>
  <w:num w:numId="25" w16cid:durableId="398871348">
    <w:abstractNumId w:val="42"/>
  </w:num>
  <w:num w:numId="26" w16cid:durableId="630787124">
    <w:abstractNumId w:val="9"/>
  </w:num>
  <w:num w:numId="27" w16cid:durableId="1477645085">
    <w:abstractNumId w:val="54"/>
  </w:num>
  <w:num w:numId="28" w16cid:durableId="1572890058">
    <w:abstractNumId w:val="37"/>
  </w:num>
  <w:num w:numId="29" w16cid:durableId="469522133">
    <w:abstractNumId w:val="35"/>
  </w:num>
  <w:num w:numId="30" w16cid:durableId="1206216224">
    <w:abstractNumId w:val="27"/>
  </w:num>
  <w:num w:numId="31" w16cid:durableId="305595445">
    <w:abstractNumId w:val="32"/>
  </w:num>
  <w:num w:numId="32" w16cid:durableId="1472214743">
    <w:abstractNumId w:val="46"/>
  </w:num>
  <w:num w:numId="33" w16cid:durableId="1189219095">
    <w:abstractNumId w:val="16"/>
  </w:num>
  <w:num w:numId="34" w16cid:durableId="1550258815">
    <w:abstractNumId w:val="30"/>
  </w:num>
  <w:num w:numId="35" w16cid:durableId="1542549176">
    <w:abstractNumId w:val="5"/>
  </w:num>
  <w:num w:numId="36" w16cid:durableId="145901374">
    <w:abstractNumId w:val="1"/>
  </w:num>
  <w:num w:numId="37" w16cid:durableId="2098014174">
    <w:abstractNumId w:val="53"/>
  </w:num>
  <w:num w:numId="38" w16cid:durableId="917514947">
    <w:abstractNumId w:val="50"/>
  </w:num>
  <w:num w:numId="39" w16cid:durableId="1752921960">
    <w:abstractNumId w:val="55"/>
  </w:num>
  <w:num w:numId="40" w16cid:durableId="816072289">
    <w:abstractNumId w:val="39"/>
  </w:num>
  <w:num w:numId="41" w16cid:durableId="1086071270">
    <w:abstractNumId w:val="13"/>
  </w:num>
  <w:num w:numId="42" w16cid:durableId="518353512">
    <w:abstractNumId w:val="41"/>
  </w:num>
  <w:num w:numId="43" w16cid:durableId="1383747559">
    <w:abstractNumId w:val="4"/>
  </w:num>
  <w:num w:numId="44" w16cid:durableId="650016011">
    <w:abstractNumId w:val="43"/>
  </w:num>
  <w:num w:numId="45" w16cid:durableId="1556233835">
    <w:abstractNumId w:val="14"/>
  </w:num>
  <w:num w:numId="46" w16cid:durableId="395711006">
    <w:abstractNumId w:val="31"/>
  </w:num>
  <w:num w:numId="47" w16cid:durableId="182937897">
    <w:abstractNumId w:val="11"/>
  </w:num>
  <w:num w:numId="48" w16cid:durableId="610893304">
    <w:abstractNumId w:val="36"/>
  </w:num>
  <w:num w:numId="49" w16cid:durableId="1025862371">
    <w:abstractNumId w:val="44"/>
  </w:num>
  <w:num w:numId="50" w16cid:durableId="1299608060">
    <w:abstractNumId w:val="34"/>
  </w:num>
  <w:num w:numId="51" w16cid:durableId="1044521900">
    <w:abstractNumId w:val="29"/>
  </w:num>
  <w:num w:numId="52" w16cid:durableId="965426377">
    <w:abstractNumId w:val="52"/>
  </w:num>
  <w:num w:numId="53" w16cid:durableId="404885226">
    <w:abstractNumId w:val="25"/>
  </w:num>
  <w:num w:numId="54" w16cid:durableId="1444693762">
    <w:abstractNumId w:val="56"/>
  </w:num>
  <w:num w:numId="55" w16cid:durableId="1120731755">
    <w:abstractNumId w:val="3"/>
  </w:num>
  <w:num w:numId="56" w16cid:durableId="1859536921">
    <w:abstractNumId w:val="6"/>
  </w:num>
  <w:num w:numId="57" w16cid:durableId="344064432">
    <w:abstractNumId w:val="47"/>
  </w:num>
  <w:num w:numId="58" w16cid:durableId="106930441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verley Streater">
    <w15:presenceInfo w15:providerId="None" w15:userId="Beverley Streater"/>
  </w15:person>
  <w15:person w15:author="SuperScript">
    <w15:presenceInfo w15:providerId="None" w15:userId="SuperScript"/>
  </w15:person>
  <w15:person w15:author="SuperScript01">
    <w15:presenceInfo w15:providerId="None" w15:userId="SuperScript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DF"/>
    <w:rsid w:val="00000420"/>
    <w:rsid w:val="00001A54"/>
    <w:rsid w:val="00002F8C"/>
    <w:rsid w:val="00002FD0"/>
    <w:rsid w:val="000035E0"/>
    <w:rsid w:val="00005CFC"/>
    <w:rsid w:val="00005D39"/>
    <w:rsid w:val="000062E6"/>
    <w:rsid w:val="00006BC7"/>
    <w:rsid w:val="00006EA9"/>
    <w:rsid w:val="0000777B"/>
    <w:rsid w:val="00007AFB"/>
    <w:rsid w:val="00007D9F"/>
    <w:rsid w:val="00010769"/>
    <w:rsid w:val="00011620"/>
    <w:rsid w:val="000136E3"/>
    <w:rsid w:val="00013A44"/>
    <w:rsid w:val="00014AE9"/>
    <w:rsid w:val="000153B9"/>
    <w:rsid w:val="0001576C"/>
    <w:rsid w:val="00016133"/>
    <w:rsid w:val="0001655F"/>
    <w:rsid w:val="00016AC2"/>
    <w:rsid w:val="00016DED"/>
    <w:rsid w:val="000175B9"/>
    <w:rsid w:val="000202B8"/>
    <w:rsid w:val="00020CCD"/>
    <w:rsid w:val="000223F8"/>
    <w:rsid w:val="00023C0E"/>
    <w:rsid w:val="00024FEA"/>
    <w:rsid w:val="0002747C"/>
    <w:rsid w:val="00030649"/>
    <w:rsid w:val="00030A53"/>
    <w:rsid w:val="00030D14"/>
    <w:rsid w:val="0003119D"/>
    <w:rsid w:val="00031852"/>
    <w:rsid w:val="00032A55"/>
    <w:rsid w:val="00033495"/>
    <w:rsid w:val="000341B9"/>
    <w:rsid w:val="000345C3"/>
    <w:rsid w:val="00034662"/>
    <w:rsid w:val="00034A57"/>
    <w:rsid w:val="00034A99"/>
    <w:rsid w:val="00035F4B"/>
    <w:rsid w:val="0003637E"/>
    <w:rsid w:val="0003681F"/>
    <w:rsid w:val="0004061C"/>
    <w:rsid w:val="000408EA"/>
    <w:rsid w:val="000409C8"/>
    <w:rsid w:val="000430BA"/>
    <w:rsid w:val="00045351"/>
    <w:rsid w:val="00046317"/>
    <w:rsid w:val="00046419"/>
    <w:rsid w:val="00047C9C"/>
    <w:rsid w:val="0005004A"/>
    <w:rsid w:val="00051ADF"/>
    <w:rsid w:val="00051F9B"/>
    <w:rsid w:val="00052EA4"/>
    <w:rsid w:val="00053229"/>
    <w:rsid w:val="00054B16"/>
    <w:rsid w:val="000552EE"/>
    <w:rsid w:val="00055675"/>
    <w:rsid w:val="000558AC"/>
    <w:rsid w:val="00055F68"/>
    <w:rsid w:val="00057010"/>
    <w:rsid w:val="000573DC"/>
    <w:rsid w:val="00061437"/>
    <w:rsid w:val="000618BE"/>
    <w:rsid w:val="00063A14"/>
    <w:rsid w:val="00063A21"/>
    <w:rsid w:val="00065B5A"/>
    <w:rsid w:val="000661DF"/>
    <w:rsid w:val="000706D7"/>
    <w:rsid w:val="00070CA8"/>
    <w:rsid w:val="00071337"/>
    <w:rsid w:val="00071642"/>
    <w:rsid w:val="0007250B"/>
    <w:rsid w:val="0007275E"/>
    <w:rsid w:val="00073810"/>
    <w:rsid w:val="000743FB"/>
    <w:rsid w:val="00076F14"/>
    <w:rsid w:val="0008580E"/>
    <w:rsid w:val="000860EA"/>
    <w:rsid w:val="000907C8"/>
    <w:rsid w:val="00090C68"/>
    <w:rsid w:val="00092221"/>
    <w:rsid w:val="00093B8E"/>
    <w:rsid w:val="000950A9"/>
    <w:rsid w:val="000958ED"/>
    <w:rsid w:val="00096929"/>
    <w:rsid w:val="0009709B"/>
    <w:rsid w:val="000A12F9"/>
    <w:rsid w:val="000A1E32"/>
    <w:rsid w:val="000A2204"/>
    <w:rsid w:val="000A389D"/>
    <w:rsid w:val="000A4B38"/>
    <w:rsid w:val="000A5AFF"/>
    <w:rsid w:val="000A6656"/>
    <w:rsid w:val="000A6779"/>
    <w:rsid w:val="000A69E8"/>
    <w:rsid w:val="000B02C8"/>
    <w:rsid w:val="000B2F6C"/>
    <w:rsid w:val="000B6A1C"/>
    <w:rsid w:val="000B73ED"/>
    <w:rsid w:val="000B77EA"/>
    <w:rsid w:val="000C07B5"/>
    <w:rsid w:val="000C092F"/>
    <w:rsid w:val="000C0D20"/>
    <w:rsid w:val="000C197F"/>
    <w:rsid w:val="000C477D"/>
    <w:rsid w:val="000C5FAB"/>
    <w:rsid w:val="000C66E0"/>
    <w:rsid w:val="000C691E"/>
    <w:rsid w:val="000C6D52"/>
    <w:rsid w:val="000C7387"/>
    <w:rsid w:val="000C73BB"/>
    <w:rsid w:val="000C7832"/>
    <w:rsid w:val="000D0D20"/>
    <w:rsid w:val="000D0F4F"/>
    <w:rsid w:val="000D134A"/>
    <w:rsid w:val="000D273F"/>
    <w:rsid w:val="000D2B83"/>
    <w:rsid w:val="000D47DA"/>
    <w:rsid w:val="000D5A7F"/>
    <w:rsid w:val="000D6C5B"/>
    <w:rsid w:val="000E027A"/>
    <w:rsid w:val="000E0A21"/>
    <w:rsid w:val="000E2E78"/>
    <w:rsid w:val="000E36B2"/>
    <w:rsid w:val="000E486A"/>
    <w:rsid w:val="000E5352"/>
    <w:rsid w:val="000E6676"/>
    <w:rsid w:val="000E7A5E"/>
    <w:rsid w:val="000F173D"/>
    <w:rsid w:val="000F1E69"/>
    <w:rsid w:val="000F1E90"/>
    <w:rsid w:val="000F2293"/>
    <w:rsid w:val="000F24A3"/>
    <w:rsid w:val="000F3C36"/>
    <w:rsid w:val="000F58E0"/>
    <w:rsid w:val="000F5997"/>
    <w:rsid w:val="000F6022"/>
    <w:rsid w:val="000F6AE4"/>
    <w:rsid w:val="000F7347"/>
    <w:rsid w:val="000F7B75"/>
    <w:rsid w:val="00101071"/>
    <w:rsid w:val="00101C23"/>
    <w:rsid w:val="00102065"/>
    <w:rsid w:val="001033E9"/>
    <w:rsid w:val="00104284"/>
    <w:rsid w:val="00104BC0"/>
    <w:rsid w:val="00105062"/>
    <w:rsid w:val="0010566F"/>
    <w:rsid w:val="001066C3"/>
    <w:rsid w:val="001100A1"/>
    <w:rsid w:val="00110FCB"/>
    <w:rsid w:val="00111891"/>
    <w:rsid w:val="0011234B"/>
    <w:rsid w:val="00112998"/>
    <w:rsid w:val="001138B4"/>
    <w:rsid w:val="00113F01"/>
    <w:rsid w:val="00114089"/>
    <w:rsid w:val="001142E9"/>
    <w:rsid w:val="00115796"/>
    <w:rsid w:val="00117A92"/>
    <w:rsid w:val="00117C5E"/>
    <w:rsid w:val="0012046A"/>
    <w:rsid w:val="00124069"/>
    <w:rsid w:val="00124648"/>
    <w:rsid w:val="0012533D"/>
    <w:rsid w:val="00126C66"/>
    <w:rsid w:val="001302D9"/>
    <w:rsid w:val="001340A9"/>
    <w:rsid w:val="0013418A"/>
    <w:rsid w:val="00134380"/>
    <w:rsid w:val="001351A8"/>
    <w:rsid w:val="00136134"/>
    <w:rsid w:val="00136B78"/>
    <w:rsid w:val="00141233"/>
    <w:rsid w:val="00141413"/>
    <w:rsid w:val="00142290"/>
    <w:rsid w:val="00142553"/>
    <w:rsid w:val="00142C79"/>
    <w:rsid w:val="0014310C"/>
    <w:rsid w:val="00144297"/>
    <w:rsid w:val="00144F1A"/>
    <w:rsid w:val="00145009"/>
    <w:rsid w:val="0014501F"/>
    <w:rsid w:val="00147743"/>
    <w:rsid w:val="00147B0C"/>
    <w:rsid w:val="00156943"/>
    <w:rsid w:val="00156AEB"/>
    <w:rsid w:val="00163960"/>
    <w:rsid w:val="001643D7"/>
    <w:rsid w:val="00164DD4"/>
    <w:rsid w:val="001653ED"/>
    <w:rsid w:val="001661AE"/>
    <w:rsid w:val="0016721A"/>
    <w:rsid w:val="00167E29"/>
    <w:rsid w:val="00170B38"/>
    <w:rsid w:val="0017133E"/>
    <w:rsid w:val="001733E6"/>
    <w:rsid w:val="0017387D"/>
    <w:rsid w:val="00173C7F"/>
    <w:rsid w:val="00173CB5"/>
    <w:rsid w:val="0017598C"/>
    <w:rsid w:val="00177E50"/>
    <w:rsid w:val="00180443"/>
    <w:rsid w:val="00180BF8"/>
    <w:rsid w:val="001813BF"/>
    <w:rsid w:val="00182876"/>
    <w:rsid w:val="00183771"/>
    <w:rsid w:val="00183E0B"/>
    <w:rsid w:val="00183E11"/>
    <w:rsid w:val="00185AFE"/>
    <w:rsid w:val="001861F1"/>
    <w:rsid w:val="001913E4"/>
    <w:rsid w:val="001914D6"/>
    <w:rsid w:val="001917C2"/>
    <w:rsid w:val="001927A5"/>
    <w:rsid w:val="0019362A"/>
    <w:rsid w:val="00194393"/>
    <w:rsid w:val="001948C4"/>
    <w:rsid w:val="0019635D"/>
    <w:rsid w:val="00197F6F"/>
    <w:rsid w:val="001A032A"/>
    <w:rsid w:val="001A04EA"/>
    <w:rsid w:val="001A3220"/>
    <w:rsid w:val="001A479A"/>
    <w:rsid w:val="001A541A"/>
    <w:rsid w:val="001A77F7"/>
    <w:rsid w:val="001B05F1"/>
    <w:rsid w:val="001B0AEA"/>
    <w:rsid w:val="001B0D66"/>
    <w:rsid w:val="001B1052"/>
    <w:rsid w:val="001B1F21"/>
    <w:rsid w:val="001B4353"/>
    <w:rsid w:val="001B50DD"/>
    <w:rsid w:val="001B5A42"/>
    <w:rsid w:val="001B6A1A"/>
    <w:rsid w:val="001B6D01"/>
    <w:rsid w:val="001B6F2C"/>
    <w:rsid w:val="001C00A9"/>
    <w:rsid w:val="001C1184"/>
    <w:rsid w:val="001C24C0"/>
    <w:rsid w:val="001C2D27"/>
    <w:rsid w:val="001C7D0F"/>
    <w:rsid w:val="001D1EBD"/>
    <w:rsid w:val="001D2899"/>
    <w:rsid w:val="001D2C39"/>
    <w:rsid w:val="001D2CBD"/>
    <w:rsid w:val="001D3013"/>
    <w:rsid w:val="001D4949"/>
    <w:rsid w:val="001D4F59"/>
    <w:rsid w:val="001D4FB0"/>
    <w:rsid w:val="001D5D7A"/>
    <w:rsid w:val="001D693B"/>
    <w:rsid w:val="001D6E93"/>
    <w:rsid w:val="001D7069"/>
    <w:rsid w:val="001E163D"/>
    <w:rsid w:val="001E3D03"/>
    <w:rsid w:val="001E51A2"/>
    <w:rsid w:val="001E58F9"/>
    <w:rsid w:val="001E6FC1"/>
    <w:rsid w:val="001E7B26"/>
    <w:rsid w:val="001E7D5F"/>
    <w:rsid w:val="001F0153"/>
    <w:rsid w:val="001F137F"/>
    <w:rsid w:val="001F1DCA"/>
    <w:rsid w:val="001F2703"/>
    <w:rsid w:val="001F2FEB"/>
    <w:rsid w:val="001F3ABE"/>
    <w:rsid w:val="001F42BA"/>
    <w:rsid w:val="001F53D3"/>
    <w:rsid w:val="001F5F1A"/>
    <w:rsid w:val="001F5FBF"/>
    <w:rsid w:val="001F6E2B"/>
    <w:rsid w:val="001F7090"/>
    <w:rsid w:val="001F7D8E"/>
    <w:rsid w:val="00200BCE"/>
    <w:rsid w:val="00201963"/>
    <w:rsid w:val="002029E4"/>
    <w:rsid w:val="00202D09"/>
    <w:rsid w:val="00202E30"/>
    <w:rsid w:val="00205B80"/>
    <w:rsid w:val="00206AD1"/>
    <w:rsid w:val="00210840"/>
    <w:rsid w:val="00211691"/>
    <w:rsid w:val="00212723"/>
    <w:rsid w:val="00214A66"/>
    <w:rsid w:val="00215BA2"/>
    <w:rsid w:val="002169B4"/>
    <w:rsid w:val="002171F3"/>
    <w:rsid w:val="00222693"/>
    <w:rsid w:val="00223E2A"/>
    <w:rsid w:val="0022442B"/>
    <w:rsid w:val="00224F99"/>
    <w:rsid w:val="00225043"/>
    <w:rsid w:val="00226126"/>
    <w:rsid w:val="0022659D"/>
    <w:rsid w:val="00226C47"/>
    <w:rsid w:val="002274CF"/>
    <w:rsid w:val="00230C64"/>
    <w:rsid w:val="00231077"/>
    <w:rsid w:val="0023170C"/>
    <w:rsid w:val="00231768"/>
    <w:rsid w:val="00232CB6"/>
    <w:rsid w:val="00233B44"/>
    <w:rsid w:val="00233D0B"/>
    <w:rsid w:val="002342BE"/>
    <w:rsid w:val="00234C79"/>
    <w:rsid w:val="002351F2"/>
    <w:rsid w:val="002354A0"/>
    <w:rsid w:val="00235BD2"/>
    <w:rsid w:val="00237EF6"/>
    <w:rsid w:val="002401B1"/>
    <w:rsid w:val="002404E8"/>
    <w:rsid w:val="002418FE"/>
    <w:rsid w:val="002437EA"/>
    <w:rsid w:val="00243DC1"/>
    <w:rsid w:val="00243FAB"/>
    <w:rsid w:val="00245C8D"/>
    <w:rsid w:val="00247207"/>
    <w:rsid w:val="00250E65"/>
    <w:rsid w:val="002514EA"/>
    <w:rsid w:val="0025311C"/>
    <w:rsid w:val="00253510"/>
    <w:rsid w:val="00253F80"/>
    <w:rsid w:val="00254A93"/>
    <w:rsid w:val="00254D97"/>
    <w:rsid w:val="00256597"/>
    <w:rsid w:val="00256B5B"/>
    <w:rsid w:val="00256E41"/>
    <w:rsid w:val="00257D06"/>
    <w:rsid w:val="00257E98"/>
    <w:rsid w:val="002608EB"/>
    <w:rsid w:val="00260B65"/>
    <w:rsid w:val="002614E3"/>
    <w:rsid w:val="002642D4"/>
    <w:rsid w:val="0026437C"/>
    <w:rsid w:val="0026562C"/>
    <w:rsid w:val="00265965"/>
    <w:rsid w:val="00265974"/>
    <w:rsid w:val="00266417"/>
    <w:rsid w:val="00267249"/>
    <w:rsid w:val="00267784"/>
    <w:rsid w:val="0027095B"/>
    <w:rsid w:val="00271262"/>
    <w:rsid w:val="00272232"/>
    <w:rsid w:val="00272986"/>
    <w:rsid w:val="00273DDB"/>
    <w:rsid w:val="0027554E"/>
    <w:rsid w:val="00275BEA"/>
    <w:rsid w:val="002767E4"/>
    <w:rsid w:val="00277F89"/>
    <w:rsid w:val="002817D8"/>
    <w:rsid w:val="00281BA7"/>
    <w:rsid w:val="00282484"/>
    <w:rsid w:val="0028422D"/>
    <w:rsid w:val="002849D0"/>
    <w:rsid w:val="00285EB0"/>
    <w:rsid w:val="002863AD"/>
    <w:rsid w:val="00286E09"/>
    <w:rsid w:val="0028768C"/>
    <w:rsid w:val="00291464"/>
    <w:rsid w:val="00291C8A"/>
    <w:rsid w:val="00292E9F"/>
    <w:rsid w:val="0029378D"/>
    <w:rsid w:val="00293BF8"/>
    <w:rsid w:val="00293EDC"/>
    <w:rsid w:val="00293EF4"/>
    <w:rsid w:val="00294151"/>
    <w:rsid w:val="002944B0"/>
    <w:rsid w:val="002949E3"/>
    <w:rsid w:val="00294A90"/>
    <w:rsid w:val="002955D2"/>
    <w:rsid w:val="0029568B"/>
    <w:rsid w:val="00295954"/>
    <w:rsid w:val="00296A9F"/>
    <w:rsid w:val="00296E63"/>
    <w:rsid w:val="00296E9D"/>
    <w:rsid w:val="002A0DF1"/>
    <w:rsid w:val="002A0FE8"/>
    <w:rsid w:val="002A118B"/>
    <w:rsid w:val="002A1821"/>
    <w:rsid w:val="002A37EE"/>
    <w:rsid w:val="002A49E9"/>
    <w:rsid w:val="002A5197"/>
    <w:rsid w:val="002A524F"/>
    <w:rsid w:val="002A551C"/>
    <w:rsid w:val="002A7014"/>
    <w:rsid w:val="002A702A"/>
    <w:rsid w:val="002B19DA"/>
    <w:rsid w:val="002B1A34"/>
    <w:rsid w:val="002B2216"/>
    <w:rsid w:val="002B30AF"/>
    <w:rsid w:val="002B3D35"/>
    <w:rsid w:val="002B4380"/>
    <w:rsid w:val="002B5D5D"/>
    <w:rsid w:val="002B6398"/>
    <w:rsid w:val="002B69A8"/>
    <w:rsid w:val="002C026F"/>
    <w:rsid w:val="002C1595"/>
    <w:rsid w:val="002C2CB6"/>
    <w:rsid w:val="002C2FBF"/>
    <w:rsid w:val="002C39C7"/>
    <w:rsid w:val="002C56B0"/>
    <w:rsid w:val="002C5EA3"/>
    <w:rsid w:val="002C6783"/>
    <w:rsid w:val="002C6F77"/>
    <w:rsid w:val="002D0223"/>
    <w:rsid w:val="002D09A9"/>
    <w:rsid w:val="002D1375"/>
    <w:rsid w:val="002D154A"/>
    <w:rsid w:val="002D18E2"/>
    <w:rsid w:val="002D2D4F"/>
    <w:rsid w:val="002D2F23"/>
    <w:rsid w:val="002D3EBD"/>
    <w:rsid w:val="002D50F6"/>
    <w:rsid w:val="002D603C"/>
    <w:rsid w:val="002D61F1"/>
    <w:rsid w:val="002D71A1"/>
    <w:rsid w:val="002D7C38"/>
    <w:rsid w:val="002E25D2"/>
    <w:rsid w:val="002E4158"/>
    <w:rsid w:val="002E4B4F"/>
    <w:rsid w:val="002E649C"/>
    <w:rsid w:val="002E6A61"/>
    <w:rsid w:val="002E742C"/>
    <w:rsid w:val="002E7783"/>
    <w:rsid w:val="002F084A"/>
    <w:rsid w:val="002F0D76"/>
    <w:rsid w:val="002F2882"/>
    <w:rsid w:val="002F5E2B"/>
    <w:rsid w:val="002F6222"/>
    <w:rsid w:val="002F6BD6"/>
    <w:rsid w:val="00300447"/>
    <w:rsid w:val="003013C8"/>
    <w:rsid w:val="0030394D"/>
    <w:rsid w:val="00303B75"/>
    <w:rsid w:val="00304C79"/>
    <w:rsid w:val="00305711"/>
    <w:rsid w:val="00305DAD"/>
    <w:rsid w:val="003068A4"/>
    <w:rsid w:val="003068B3"/>
    <w:rsid w:val="00306B2E"/>
    <w:rsid w:val="00307510"/>
    <w:rsid w:val="00307C79"/>
    <w:rsid w:val="00307CD8"/>
    <w:rsid w:val="00310B63"/>
    <w:rsid w:val="00315B20"/>
    <w:rsid w:val="00315D86"/>
    <w:rsid w:val="00315F5D"/>
    <w:rsid w:val="003167CB"/>
    <w:rsid w:val="00316B38"/>
    <w:rsid w:val="00320AE8"/>
    <w:rsid w:val="00321644"/>
    <w:rsid w:val="003227E4"/>
    <w:rsid w:val="003242AF"/>
    <w:rsid w:val="00325097"/>
    <w:rsid w:val="00325406"/>
    <w:rsid w:val="003256D7"/>
    <w:rsid w:val="00325C93"/>
    <w:rsid w:val="003261C8"/>
    <w:rsid w:val="00330454"/>
    <w:rsid w:val="00331213"/>
    <w:rsid w:val="00331338"/>
    <w:rsid w:val="00332458"/>
    <w:rsid w:val="003325BA"/>
    <w:rsid w:val="00343CE5"/>
    <w:rsid w:val="0034489A"/>
    <w:rsid w:val="00345799"/>
    <w:rsid w:val="00345A3F"/>
    <w:rsid w:val="00346507"/>
    <w:rsid w:val="0034660B"/>
    <w:rsid w:val="00346D4B"/>
    <w:rsid w:val="0034732E"/>
    <w:rsid w:val="003500AC"/>
    <w:rsid w:val="00350589"/>
    <w:rsid w:val="003530DA"/>
    <w:rsid w:val="0035315F"/>
    <w:rsid w:val="00353EE4"/>
    <w:rsid w:val="003557B4"/>
    <w:rsid w:val="00357261"/>
    <w:rsid w:val="0036159C"/>
    <w:rsid w:val="00361675"/>
    <w:rsid w:val="00363960"/>
    <w:rsid w:val="00363C8A"/>
    <w:rsid w:val="003647A3"/>
    <w:rsid w:val="00365BC7"/>
    <w:rsid w:val="00367068"/>
    <w:rsid w:val="0037282B"/>
    <w:rsid w:val="00372EB4"/>
    <w:rsid w:val="0037373D"/>
    <w:rsid w:val="003740EA"/>
    <w:rsid w:val="003745CE"/>
    <w:rsid w:val="003777DB"/>
    <w:rsid w:val="003815A8"/>
    <w:rsid w:val="0038346A"/>
    <w:rsid w:val="0038401B"/>
    <w:rsid w:val="003853BC"/>
    <w:rsid w:val="0038586D"/>
    <w:rsid w:val="00386D22"/>
    <w:rsid w:val="0038711D"/>
    <w:rsid w:val="00390036"/>
    <w:rsid w:val="003906D3"/>
    <w:rsid w:val="003933EC"/>
    <w:rsid w:val="003936F0"/>
    <w:rsid w:val="0039444E"/>
    <w:rsid w:val="00394A11"/>
    <w:rsid w:val="00394A6C"/>
    <w:rsid w:val="003954F8"/>
    <w:rsid w:val="00395520"/>
    <w:rsid w:val="00396F57"/>
    <w:rsid w:val="00396F87"/>
    <w:rsid w:val="00397A49"/>
    <w:rsid w:val="003A2254"/>
    <w:rsid w:val="003A2879"/>
    <w:rsid w:val="003A414B"/>
    <w:rsid w:val="003A4E73"/>
    <w:rsid w:val="003A4EDE"/>
    <w:rsid w:val="003A561E"/>
    <w:rsid w:val="003A6423"/>
    <w:rsid w:val="003A69DE"/>
    <w:rsid w:val="003A754A"/>
    <w:rsid w:val="003B02F6"/>
    <w:rsid w:val="003B0D60"/>
    <w:rsid w:val="003B0F8B"/>
    <w:rsid w:val="003B33D6"/>
    <w:rsid w:val="003B6A51"/>
    <w:rsid w:val="003B6D8D"/>
    <w:rsid w:val="003B7C2E"/>
    <w:rsid w:val="003B7F65"/>
    <w:rsid w:val="003C2872"/>
    <w:rsid w:val="003C31BC"/>
    <w:rsid w:val="003C3292"/>
    <w:rsid w:val="003C458B"/>
    <w:rsid w:val="003C4683"/>
    <w:rsid w:val="003C4BEE"/>
    <w:rsid w:val="003C5AA0"/>
    <w:rsid w:val="003C71A3"/>
    <w:rsid w:val="003D13AF"/>
    <w:rsid w:val="003D169D"/>
    <w:rsid w:val="003D1CCA"/>
    <w:rsid w:val="003D3289"/>
    <w:rsid w:val="003D6D94"/>
    <w:rsid w:val="003D7B1C"/>
    <w:rsid w:val="003D7CF9"/>
    <w:rsid w:val="003E247C"/>
    <w:rsid w:val="003E3587"/>
    <w:rsid w:val="003E37ED"/>
    <w:rsid w:val="003E41BB"/>
    <w:rsid w:val="003E57FA"/>
    <w:rsid w:val="003E71AB"/>
    <w:rsid w:val="003E7781"/>
    <w:rsid w:val="003E79B7"/>
    <w:rsid w:val="003F04D8"/>
    <w:rsid w:val="003F1642"/>
    <w:rsid w:val="003F313F"/>
    <w:rsid w:val="003F3F95"/>
    <w:rsid w:val="003F4B93"/>
    <w:rsid w:val="003F4D70"/>
    <w:rsid w:val="003F5A8B"/>
    <w:rsid w:val="003F5D1B"/>
    <w:rsid w:val="003F5E5B"/>
    <w:rsid w:val="003F5F69"/>
    <w:rsid w:val="003F7BCB"/>
    <w:rsid w:val="003F7BE4"/>
    <w:rsid w:val="00400865"/>
    <w:rsid w:val="004038E1"/>
    <w:rsid w:val="00406454"/>
    <w:rsid w:val="004073E6"/>
    <w:rsid w:val="0040760F"/>
    <w:rsid w:val="00407B3E"/>
    <w:rsid w:val="00410063"/>
    <w:rsid w:val="004105A0"/>
    <w:rsid w:val="00410CEA"/>
    <w:rsid w:val="004119DB"/>
    <w:rsid w:val="00411A45"/>
    <w:rsid w:val="00411C5B"/>
    <w:rsid w:val="0041282A"/>
    <w:rsid w:val="004145D1"/>
    <w:rsid w:val="00414D7C"/>
    <w:rsid w:val="004158DB"/>
    <w:rsid w:val="00416AF9"/>
    <w:rsid w:val="00417F6B"/>
    <w:rsid w:val="004205C2"/>
    <w:rsid w:val="00420C4E"/>
    <w:rsid w:val="00420C95"/>
    <w:rsid w:val="004211C0"/>
    <w:rsid w:val="00421CCE"/>
    <w:rsid w:val="0042314F"/>
    <w:rsid w:val="004240E7"/>
    <w:rsid w:val="004241BA"/>
    <w:rsid w:val="0042543E"/>
    <w:rsid w:val="00425FEF"/>
    <w:rsid w:val="004316F3"/>
    <w:rsid w:val="00432963"/>
    <w:rsid w:val="004336D4"/>
    <w:rsid w:val="004336EE"/>
    <w:rsid w:val="004344F8"/>
    <w:rsid w:val="00435CB8"/>
    <w:rsid w:val="00435DB9"/>
    <w:rsid w:val="00435DDE"/>
    <w:rsid w:val="00435F9F"/>
    <w:rsid w:val="0043773F"/>
    <w:rsid w:val="00437A3C"/>
    <w:rsid w:val="004403C4"/>
    <w:rsid w:val="0044116D"/>
    <w:rsid w:val="004416B7"/>
    <w:rsid w:val="0044246D"/>
    <w:rsid w:val="00443311"/>
    <w:rsid w:val="00443546"/>
    <w:rsid w:val="00445B3D"/>
    <w:rsid w:val="00446644"/>
    <w:rsid w:val="004467BA"/>
    <w:rsid w:val="0045019A"/>
    <w:rsid w:val="004507EA"/>
    <w:rsid w:val="00450837"/>
    <w:rsid w:val="00450BE5"/>
    <w:rsid w:val="004534D1"/>
    <w:rsid w:val="004538BF"/>
    <w:rsid w:val="004551AE"/>
    <w:rsid w:val="004600F4"/>
    <w:rsid w:val="00460B1E"/>
    <w:rsid w:val="0046120D"/>
    <w:rsid w:val="00461AB4"/>
    <w:rsid w:val="00461FF9"/>
    <w:rsid w:val="00462870"/>
    <w:rsid w:val="00462D06"/>
    <w:rsid w:val="004640A4"/>
    <w:rsid w:val="00464410"/>
    <w:rsid w:val="00465472"/>
    <w:rsid w:val="00465B27"/>
    <w:rsid w:val="00466B3F"/>
    <w:rsid w:val="00466F65"/>
    <w:rsid w:val="00467281"/>
    <w:rsid w:val="0046797C"/>
    <w:rsid w:val="004712BF"/>
    <w:rsid w:val="004712FF"/>
    <w:rsid w:val="0047159E"/>
    <w:rsid w:val="00472496"/>
    <w:rsid w:val="004727D5"/>
    <w:rsid w:val="004773BD"/>
    <w:rsid w:val="004777CF"/>
    <w:rsid w:val="00480524"/>
    <w:rsid w:val="00480856"/>
    <w:rsid w:val="00481391"/>
    <w:rsid w:val="00481682"/>
    <w:rsid w:val="00482C6E"/>
    <w:rsid w:val="00483DFA"/>
    <w:rsid w:val="00484FB2"/>
    <w:rsid w:val="0048779B"/>
    <w:rsid w:val="0049076D"/>
    <w:rsid w:val="0049162D"/>
    <w:rsid w:val="00491902"/>
    <w:rsid w:val="00491C47"/>
    <w:rsid w:val="0049329F"/>
    <w:rsid w:val="004938D4"/>
    <w:rsid w:val="0049403B"/>
    <w:rsid w:val="004942A9"/>
    <w:rsid w:val="0049465F"/>
    <w:rsid w:val="00495280"/>
    <w:rsid w:val="00495871"/>
    <w:rsid w:val="00496AF3"/>
    <w:rsid w:val="00496B47"/>
    <w:rsid w:val="004973CB"/>
    <w:rsid w:val="004A04D9"/>
    <w:rsid w:val="004A076A"/>
    <w:rsid w:val="004A1D8B"/>
    <w:rsid w:val="004A24B3"/>
    <w:rsid w:val="004A3833"/>
    <w:rsid w:val="004A3B1F"/>
    <w:rsid w:val="004A3B7D"/>
    <w:rsid w:val="004A6668"/>
    <w:rsid w:val="004A7CDE"/>
    <w:rsid w:val="004A7F45"/>
    <w:rsid w:val="004B0897"/>
    <w:rsid w:val="004B25F0"/>
    <w:rsid w:val="004B32B7"/>
    <w:rsid w:val="004B39AE"/>
    <w:rsid w:val="004B3D6A"/>
    <w:rsid w:val="004B4549"/>
    <w:rsid w:val="004B4FEE"/>
    <w:rsid w:val="004B5507"/>
    <w:rsid w:val="004B5E50"/>
    <w:rsid w:val="004B6E4C"/>
    <w:rsid w:val="004C062C"/>
    <w:rsid w:val="004C0948"/>
    <w:rsid w:val="004C11E1"/>
    <w:rsid w:val="004C1353"/>
    <w:rsid w:val="004C1988"/>
    <w:rsid w:val="004C1A1E"/>
    <w:rsid w:val="004C2B62"/>
    <w:rsid w:val="004C2BD8"/>
    <w:rsid w:val="004C2D00"/>
    <w:rsid w:val="004C30B5"/>
    <w:rsid w:val="004C44BD"/>
    <w:rsid w:val="004C459B"/>
    <w:rsid w:val="004C54FA"/>
    <w:rsid w:val="004C63ED"/>
    <w:rsid w:val="004D074F"/>
    <w:rsid w:val="004D093F"/>
    <w:rsid w:val="004D0EAC"/>
    <w:rsid w:val="004D0EC8"/>
    <w:rsid w:val="004D1455"/>
    <w:rsid w:val="004D20D6"/>
    <w:rsid w:val="004D23A1"/>
    <w:rsid w:val="004D24ED"/>
    <w:rsid w:val="004D2CFF"/>
    <w:rsid w:val="004D356B"/>
    <w:rsid w:val="004D3BA5"/>
    <w:rsid w:val="004D3C2E"/>
    <w:rsid w:val="004D3ED0"/>
    <w:rsid w:val="004D6C5E"/>
    <w:rsid w:val="004D79EE"/>
    <w:rsid w:val="004E0310"/>
    <w:rsid w:val="004E0439"/>
    <w:rsid w:val="004E0683"/>
    <w:rsid w:val="004E06A8"/>
    <w:rsid w:val="004E0A04"/>
    <w:rsid w:val="004E0C60"/>
    <w:rsid w:val="004E29F9"/>
    <w:rsid w:val="004E37C5"/>
    <w:rsid w:val="004E40CD"/>
    <w:rsid w:val="004E4798"/>
    <w:rsid w:val="004E54CF"/>
    <w:rsid w:val="004E57C6"/>
    <w:rsid w:val="004E66E1"/>
    <w:rsid w:val="004E6DAD"/>
    <w:rsid w:val="004F02E7"/>
    <w:rsid w:val="004F0D4B"/>
    <w:rsid w:val="004F1BD0"/>
    <w:rsid w:val="004F266D"/>
    <w:rsid w:val="004F41DC"/>
    <w:rsid w:val="004F51B2"/>
    <w:rsid w:val="004F52C4"/>
    <w:rsid w:val="004F6E87"/>
    <w:rsid w:val="004F6F6B"/>
    <w:rsid w:val="004F7647"/>
    <w:rsid w:val="0050186A"/>
    <w:rsid w:val="0050200E"/>
    <w:rsid w:val="00503B49"/>
    <w:rsid w:val="00503D59"/>
    <w:rsid w:val="00504F5A"/>
    <w:rsid w:val="00513E3E"/>
    <w:rsid w:val="0051424F"/>
    <w:rsid w:val="00515190"/>
    <w:rsid w:val="00515A22"/>
    <w:rsid w:val="00516797"/>
    <w:rsid w:val="00516E3A"/>
    <w:rsid w:val="00520737"/>
    <w:rsid w:val="00521D0D"/>
    <w:rsid w:val="005234C3"/>
    <w:rsid w:val="00523639"/>
    <w:rsid w:val="00524840"/>
    <w:rsid w:val="005253C1"/>
    <w:rsid w:val="00525D14"/>
    <w:rsid w:val="005261D4"/>
    <w:rsid w:val="00526D66"/>
    <w:rsid w:val="0053094F"/>
    <w:rsid w:val="0053134F"/>
    <w:rsid w:val="00531720"/>
    <w:rsid w:val="00533706"/>
    <w:rsid w:val="005339D9"/>
    <w:rsid w:val="005366DB"/>
    <w:rsid w:val="005402B5"/>
    <w:rsid w:val="00540E85"/>
    <w:rsid w:val="00541918"/>
    <w:rsid w:val="00541EE5"/>
    <w:rsid w:val="00544D3A"/>
    <w:rsid w:val="00544EA5"/>
    <w:rsid w:val="00545AFC"/>
    <w:rsid w:val="00546D12"/>
    <w:rsid w:val="00547070"/>
    <w:rsid w:val="00547C0B"/>
    <w:rsid w:val="0055113B"/>
    <w:rsid w:val="00552DD8"/>
    <w:rsid w:val="00553B0D"/>
    <w:rsid w:val="00553D03"/>
    <w:rsid w:val="00556DCA"/>
    <w:rsid w:val="00557BCD"/>
    <w:rsid w:val="00561698"/>
    <w:rsid w:val="005634F3"/>
    <w:rsid w:val="00563A4E"/>
    <w:rsid w:val="005642C2"/>
    <w:rsid w:val="00564F81"/>
    <w:rsid w:val="00565A7B"/>
    <w:rsid w:val="00566CE8"/>
    <w:rsid w:val="005725FD"/>
    <w:rsid w:val="005726E9"/>
    <w:rsid w:val="0057377C"/>
    <w:rsid w:val="0057428D"/>
    <w:rsid w:val="0057440D"/>
    <w:rsid w:val="00575B27"/>
    <w:rsid w:val="0058059B"/>
    <w:rsid w:val="00580CF1"/>
    <w:rsid w:val="00580FD7"/>
    <w:rsid w:val="00582B17"/>
    <w:rsid w:val="00584295"/>
    <w:rsid w:val="00585000"/>
    <w:rsid w:val="005854BE"/>
    <w:rsid w:val="00585D2B"/>
    <w:rsid w:val="00587276"/>
    <w:rsid w:val="00587C6C"/>
    <w:rsid w:val="00590764"/>
    <w:rsid w:val="00591BDA"/>
    <w:rsid w:val="00593723"/>
    <w:rsid w:val="00594BC5"/>
    <w:rsid w:val="0059658F"/>
    <w:rsid w:val="00596C64"/>
    <w:rsid w:val="00596D6F"/>
    <w:rsid w:val="0059798F"/>
    <w:rsid w:val="005A0C06"/>
    <w:rsid w:val="005A16DC"/>
    <w:rsid w:val="005A3468"/>
    <w:rsid w:val="005A41FD"/>
    <w:rsid w:val="005A434C"/>
    <w:rsid w:val="005A4D84"/>
    <w:rsid w:val="005A5074"/>
    <w:rsid w:val="005A6BBD"/>
    <w:rsid w:val="005B0F29"/>
    <w:rsid w:val="005B15AC"/>
    <w:rsid w:val="005B4201"/>
    <w:rsid w:val="005B5C9B"/>
    <w:rsid w:val="005B6EAD"/>
    <w:rsid w:val="005B756D"/>
    <w:rsid w:val="005B7CD1"/>
    <w:rsid w:val="005B7EC3"/>
    <w:rsid w:val="005C10AE"/>
    <w:rsid w:val="005C21B2"/>
    <w:rsid w:val="005C2A0E"/>
    <w:rsid w:val="005C2EC2"/>
    <w:rsid w:val="005C3BCB"/>
    <w:rsid w:val="005C4941"/>
    <w:rsid w:val="005C4C58"/>
    <w:rsid w:val="005C523B"/>
    <w:rsid w:val="005C57F7"/>
    <w:rsid w:val="005C651E"/>
    <w:rsid w:val="005C6AC2"/>
    <w:rsid w:val="005C6C18"/>
    <w:rsid w:val="005C6F20"/>
    <w:rsid w:val="005C7A2F"/>
    <w:rsid w:val="005D23F0"/>
    <w:rsid w:val="005D29EE"/>
    <w:rsid w:val="005D3CE4"/>
    <w:rsid w:val="005D505F"/>
    <w:rsid w:val="005D75D1"/>
    <w:rsid w:val="005E0524"/>
    <w:rsid w:val="005E256D"/>
    <w:rsid w:val="005E2948"/>
    <w:rsid w:val="005E45E0"/>
    <w:rsid w:val="005E4C32"/>
    <w:rsid w:val="005E58D1"/>
    <w:rsid w:val="005E75A6"/>
    <w:rsid w:val="005E7828"/>
    <w:rsid w:val="005E7A82"/>
    <w:rsid w:val="005F0279"/>
    <w:rsid w:val="005F0813"/>
    <w:rsid w:val="005F1DB9"/>
    <w:rsid w:val="005F1F96"/>
    <w:rsid w:val="005F3939"/>
    <w:rsid w:val="005F492F"/>
    <w:rsid w:val="005F4F48"/>
    <w:rsid w:val="005F60E3"/>
    <w:rsid w:val="0060054B"/>
    <w:rsid w:val="00600663"/>
    <w:rsid w:val="00602181"/>
    <w:rsid w:val="006023CC"/>
    <w:rsid w:val="006028B1"/>
    <w:rsid w:val="00602B8F"/>
    <w:rsid w:val="0060757C"/>
    <w:rsid w:val="00607C54"/>
    <w:rsid w:val="00610277"/>
    <w:rsid w:val="00613171"/>
    <w:rsid w:val="006139E7"/>
    <w:rsid w:val="00613CEB"/>
    <w:rsid w:val="006146E2"/>
    <w:rsid w:val="00615778"/>
    <w:rsid w:val="006176C5"/>
    <w:rsid w:val="00617905"/>
    <w:rsid w:val="006179E8"/>
    <w:rsid w:val="00620586"/>
    <w:rsid w:val="00622558"/>
    <w:rsid w:val="00624599"/>
    <w:rsid w:val="00625809"/>
    <w:rsid w:val="00633A75"/>
    <w:rsid w:val="00634794"/>
    <w:rsid w:val="00635183"/>
    <w:rsid w:val="00635DAA"/>
    <w:rsid w:val="006415F0"/>
    <w:rsid w:val="0064363F"/>
    <w:rsid w:val="00643E12"/>
    <w:rsid w:val="00644C6D"/>
    <w:rsid w:val="00645240"/>
    <w:rsid w:val="00646B45"/>
    <w:rsid w:val="00650B3D"/>
    <w:rsid w:val="00650C26"/>
    <w:rsid w:val="006512B4"/>
    <w:rsid w:val="00651EC1"/>
    <w:rsid w:val="00653354"/>
    <w:rsid w:val="00654152"/>
    <w:rsid w:val="006554E7"/>
    <w:rsid w:val="00655CD5"/>
    <w:rsid w:val="00656A92"/>
    <w:rsid w:val="00657555"/>
    <w:rsid w:val="00657813"/>
    <w:rsid w:val="006600CF"/>
    <w:rsid w:val="00661789"/>
    <w:rsid w:val="006617AA"/>
    <w:rsid w:val="00663656"/>
    <w:rsid w:val="00664CF1"/>
    <w:rsid w:val="00670937"/>
    <w:rsid w:val="00670E33"/>
    <w:rsid w:val="0067191D"/>
    <w:rsid w:val="00671A7D"/>
    <w:rsid w:val="00672F68"/>
    <w:rsid w:val="00673A25"/>
    <w:rsid w:val="00673C25"/>
    <w:rsid w:val="0067424F"/>
    <w:rsid w:val="00674303"/>
    <w:rsid w:val="00675B59"/>
    <w:rsid w:val="006765EB"/>
    <w:rsid w:val="00676AC7"/>
    <w:rsid w:val="00676D2E"/>
    <w:rsid w:val="006776B3"/>
    <w:rsid w:val="006803E5"/>
    <w:rsid w:val="00680871"/>
    <w:rsid w:val="00680A6F"/>
    <w:rsid w:val="00680D09"/>
    <w:rsid w:val="00680F50"/>
    <w:rsid w:val="00680F88"/>
    <w:rsid w:val="006812F8"/>
    <w:rsid w:val="00681DB6"/>
    <w:rsid w:val="0068266E"/>
    <w:rsid w:val="0068282F"/>
    <w:rsid w:val="006832B8"/>
    <w:rsid w:val="006857D7"/>
    <w:rsid w:val="00685A4D"/>
    <w:rsid w:val="00691183"/>
    <w:rsid w:val="00691DE7"/>
    <w:rsid w:val="00693039"/>
    <w:rsid w:val="00693C1D"/>
    <w:rsid w:val="00693D5D"/>
    <w:rsid w:val="00694141"/>
    <w:rsid w:val="0069552A"/>
    <w:rsid w:val="00695B28"/>
    <w:rsid w:val="006967AC"/>
    <w:rsid w:val="00697181"/>
    <w:rsid w:val="00697A52"/>
    <w:rsid w:val="006A029D"/>
    <w:rsid w:val="006A08CB"/>
    <w:rsid w:val="006A1777"/>
    <w:rsid w:val="006A1801"/>
    <w:rsid w:val="006A1E16"/>
    <w:rsid w:val="006A2DC7"/>
    <w:rsid w:val="006A3661"/>
    <w:rsid w:val="006A5B07"/>
    <w:rsid w:val="006A6C25"/>
    <w:rsid w:val="006A7F34"/>
    <w:rsid w:val="006B1062"/>
    <w:rsid w:val="006B16BE"/>
    <w:rsid w:val="006B17AB"/>
    <w:rsid w:val="006B19EC"/>
    <w:rsid w:val="006B2007"/>
    <w:rsid w:val="006B2E7C"/>
    <w:rsid w:val="006B3404"/>
    <w:rsid w:val="006B5833"/>
    <w:rsid w:val="006B7103"/>
    <w:rsid w:val="006C028F"/>
    <w:rsid w:val="006C0B77"/>
    <w:rsid w:val="006C1051"/>
    <w:rsid w:val="006C26BF"/>
    <w:rsid w:val="006C284D"/>
    <w:rsid w:val="006C2DC3"/>
    <w:rsid w:val="006C4760"/>
    <w:rsid w:val="006C592B"/>
    <w:rsid w:val="006C5F9B"/>
    <w:rsid w:val="006C6C22"/>
    <w:rsid w:val="006C6F09"/>
    <w:rsid w:val="006D020B"/>
    <w:rsid w:val="006D2ACB"/>
    <w:rsid w:val="006D5CD5"/>
    <w:rsid w:val="006D5FD7"/>
    <w:rsid w:val="006D664A"/>
    <w:rsid w:val="006D66B3"/>
    <w:rsid w:val="006D6D98"/>
    <w:rsid w:val="006D79CE"/>
    <w:rsid w:val="006D7AFE"/>
    <w:rsid w:val="006E0C2A"/>
    <w:rsid w:val="006E145E"/>
    <w:rsid w:val="006E1BCD"/>
    <w:rsid w:val="006E20E9"/>
    <w:rsid w:val="006E249B"/>
    <w:rsid w:val="006E25B3"/>
    <w:rsid w:val="006E2897"/>
    <w:rsid w:val="006E526C"/>
    <w:rsid w:val="006E5F22"/>
    <w:rsid w:val="006E78E6"/>
    <w:rsid w:val="006F04C3"/>
    <w:rsid w:val="006F05AD"/>
    <w:rsid w:val="006F2135"/>
    <w:rsid w:val="006F21CD"/>
    <w:rsid w:val="006F2A9D"/>
    <w:rsid w:val="006F35D5"/>
    <w:rsid w:val="006F555F"/>
    <w:rsid w:val="006F5F54"/>
    <w:rsid w:val="006F6094"/>
    <w:rsid w:val="006F6117"/>
    <w:rsid w:val="006F6753"/>
    <w:rsid w:val="006F6A5D"/>
    <w:rsid w:val="006F6B28"/>
    <w:rsid w:val="006F6C0A"/>
    <w:rsid w:val="00700040"/>
    <w:rsid w:val="0070004D"/>
    <w:rsid w:val="00702162"/>
    <w:rsid w:val="007038D4"/>
    <w:rsid w:val="0070525B"/>
    <w:rsid w:val="00705670"/>
    <w:rsid w:val="00705CC2"/>
    <w:rsid w:val="00711100"/>
    <w:rsid w:val="0071282D"/>
    <w:rsid w:val="00712AD0"/>
    <w:rsid w:val="00712C6B"/>
    <w:rsid w:val="00713A77"/>
    <w:rsid w:val="00713CE1"/>
    <w:rsid w:val="007154D6"/>
    <w:rsid w:val="00715F40"/>
    <w:rsid w:val="00715FFE"/>
    <w:rsid w:val="007168B1"/>
    <w:rsid w:val="007203EC"/>
    <w:rsid w:val="00720931"/>
    <w:rsid w:val="007221F1"/>
    <w:rsid w:val="00722D99"/>
    <w:rsid w:val="007236F2"/>
    <w:rsid w:val="007237A4"/>
    <w:rsid w:val="007237FC"/>
    <w:rsid w:val="007243BD"/>
    <w:rsid w:val="00724CFC"/>
    <w:rsid w:val="00727391"/>
    <w:rsid w:val="00731D08"/>
    <w:rsid w:val="00731D4A"/>
    <w:rsid w:val="00732010"/>
    <w:rsid w:val="00733004"/>
    <w:rsid w:val="007337B3"/>
    <w:rsid w:val="00734DD3"/>
    <w:rsid w:val="0073628A"/>
    <w:rsid w:val="00736788"/>
    <w:rsid w:val="00737206"/>
    <w:rsid w:val="00740BB1"/>
    <w:rsid w:val="007424E4"/>
    <w:rsid w:val="00742D2A"/>
    <w:rsid w:val="00743B15"/>
    <w:rsid w:val="007465D5"/>
    <w:rsid w:val="00746EA4"/>
    <w:rsid w:val="00747044"/>
    <w:rsid w:val="007500AE"/>
    <w:rsid w:val="00752715"/>
    <w:rsid w:val="007536F6"/>
    <w:rsid w:val="00754732"/>
    <w:rsid w:val="00754790"/>
    <w:rsid w:val="00754E08"/>
    <w:rsid w:val="007556E9"/>
    <w:rsid w:val="00760AE4"/>
    <w:rsid w:val="0076126E"/>
    <w:rsid w:val="00761D30"/>
    <w:rsid w:val="00761E92"/>
    <w:rsid w:val="00761F76"/>
    <w:rsid w:val="0076280F"/>
    <w:rsid w:val="00762B05"/>
    <w:rsid w:val="00762F2B"/>
    <w:rsid w:val="00763321"/>
    <w:rsid w:val="007647F3"/>
    <w:rsid w:val="00765043"/>
    <w:rsid w:val="007656C7"/>
    <w:rsid w:val="007657DB"/>
    <w:rsid w:val="0076653F"/>
    <w:rsid w:val="00766579"/>
    <w:rsid w:val="00766BFD"/>
    <w:rsid w:val="00770DA7"/>
    <w:rsid w:val="007742F7"/>
    <w:rsid w:val="00774DF9"/>
    <w:rsid w:val="00775812"/>
    <w:rsid w:val="00776E2B"/>
    <w:rsid w:val="00776FB9"/>
    <w:rsid w:val="00777B8A"/>
    <w:rsid w:val="0078010C"/>
    <w:rsid w:val="00781297"/>
    <w:rsid w:val="0078401F"/>
    <w:rsid w:val="007846AA"/>
    <w:rsid w:val="00784E52"/>
    <w:rsid w:val="00786239"/>
    <w:rsid w:val="0078678D"/>
    <w:rsid w:val="00786D5D"/>
    <w:rsid w:val="00787AA0"/>
    <w:rsid w:val="00787F9F"/>
    <w:rsid w:val="00791EB8"/>
    <w:rsid w:val="007921B3"/>
    <w:rsid w:val="00792C78"/>
    <w:rsid w:val="00792CCB"/>
    <w:rsid w:val="007944BF"/>
    <w:rsid w:val="0079477E"/>
    <w:rsid w:val="0079678E"/>
    <w:rsid w:val="007A03EF"/>
    <w:rsid w:val="007A0F9E"/>
    <w:rsid w:val="007A2D86"/>
    <w:rsid w:val="007A4EFE"/>
    <w:rsid w:val="007A5372"/>
    <w:rsid w:val="007A5955"/>
    <w:rsid w:val="007A61CF"/>
    <w:rsid w:val="007A7CB0"/>
    <w:rsid w:val="007B05DA"/>
    <w:rsid w:val="007B163C"/>
    <w:rsid w:val="007B1780"/>
    <w:rsid w:val="007B1E68"/>
    <w:rsid w:val="007B3F2D"/>
    <w:rsid w:val="007B461E"/>
    <w:rsid w:val="007B5D8E"/>
    <w:rsid w:val="007B5DFE"/>
    <w:rsid w:val="007C0B61"/>
    <w:rsid w:val="007C0BAD"/>
    <w:rsid w:val="007C282C"/>
    <w:rsid w:val="007C32DE"/>
    <w:rsid w:val="007C3DFA"/>
    <w:rsid w:val="007C696E"/>
    <w:rsid w:val="007C724F"/>
    <w:rsid w:val="007C784C"/>
    <w:rsid w:val="007C7AC2"/>
    <w:rsid w:val="007D16AD"/>
    <w:rsid w:val="007D4EC8"/>
    <w:rsid w:val="007D5EC5"/>
    <w:rsid w:val="007D6858"/>
    <w:rsid w:val="007D69BA"/>
    <w:rsid w:val="007D797F"/>
    <w:rsid w:val="007E030F"/>
    <w:rsid w:val="007E17C7"/>
    <w:rsid w:val="007E1E27"/>
    <w:rsid w:val="007E2ADA"/>
    <w:rsid w:val="007E4583"/>
    <w:rsid w:val="007E4950"/>
    <w:rsid w:val="007E78C3"/>
    <w:rsid w:val="007E7E49"/>
    <w:rsid w:val="007F0E9F"/>
    <w:rsid w:val="007F17C2"/>
    <w:rsid w:val="007F1AC9"/>
    <w:rsid w:val="007F1CE8"/>
    <w:rsid w:val="007F257E"/>
    <w:rsid w:val="007F3F35"/>
    <w:rsid w:val="007F3F47"/>
    <w:rsid w:val="007F4918"/>
    <w:rsid w:val="007F4ADA"/>
    <w:rsid w:val="007F53F2"/>
    <w:rsid w:val="007F600C"/>
    <w:rsid w:val="007F6E1D"/>
    <w:rsid w:val="008004C4"/>
    <w:rsid w:val="0080129B"/>
    <w:rsid w:val="00801307"/>
    <w:rsid w:val="008049FF"/>
    <w:rsid w:val="00804F2B"/>
    <w:rsid w:val="00806653"/>
    <w:rsid w:val="00807514"/>
    <w:rsid w:val="008119B1"/>
    <w:rsid w:val="00812F0D"/>
    <w:rsid w:val="0081559B"/>
    <w:rsid w:val="00815D38"/>
    <w:rsid w:val="0081644F"/>
    <w:rsid w:val="00816A8F"/>
    <w:rsid w:val="008173CD"/>
    <w:rsid w:val="00817B75"/>
    <w:rsid w:val="00820663"/>
    <w:rsid w:val="00821276"/>
    <w:rsid w:val="00821291"/>
    <w:rsid w:val="0082129F"/>
    <w:rsid w:val="008235BC"/>
    <w:rsid w:val="0082411C"/>
    <w:rsid w:val="00824218"/>
    <w:rsid w:val="008243A0"/>
    <w:rsid w:val="008243DB"/>
    <w:rsid w:val="008249B1"/>
    <w:rsid w:val="00824BB0"/>
    <w:rsid w:val="00825165"/>
    <w:rsid w:val="0082643E"/>
    <w:rsid w:val="00826B61"/>
    <w:rsid w:val="00830B63"/>
    <w:rsid w:val="00830D4F"/>
    <w:rsid w:val="00831F0A"/>
    <w:rsid w:val="008320C2"/>
    <w:rsid w:val="0083225E"/>
    <w:rsid w:val="00832B06"/>
    <w:rsid w:val="0083323C"/>
    <w:rsid w:val="008336A9"/>
    <w:rsid w:val="008345E9"/>
    <w:rsid w:val="008352EA"/>
    <w:rsid w:val="00835517"/>
    <w:rsid w:val="008367CB"/>
    <w:rsid w:val="00837A97"/>
    <w:rsid w:val="0084200A"/>
    <w:rsid w:val="0084237D"/>
    <w:rsid w:val="008423A1"/>
    <w:rsid w:val="008434E8"/>
    <w:rsid w:val="008445D9"/>
    <w:rsid w:val="00844C0A"/>
    <w:rsid w:val="00844C8E"/>
    <w:rsid w:val="00845B95"/>
    <w:rsid w:val="008468BE"/>
    <w:rsid w:val="00850ABC"/>
    <w:rsid w:val="008546C3"/>
    <w:rsid w:val="008546F0"/>
    <w:rsid w:val="008554F1"/>
    <w:rsid w:val="00855EA9"/>
    <w:rsid w:val="0085675A"/>
    <w:rsid w:val="00856B2D"/>
    <w:rsid w:val="00861874"/>
    <w:rsid w:val="00861B18"/>
    <w:rsid w:val="00861B7A"/>
    <w:rsid w:val="00862961"/>
    <w:rsid w:val="00862D6C"/>
    <w:rsid w:val="0086441A"/>
    <w:rsid w:val="00865071"/>
    <w:rsid w:val="00865B4C"/>
    <w:rsid w:val="00865C7A"/>
    <w:rsid w:val="00866A3C"/>
    <w:rsid w:val="00867687"/>
    <w:rsid w:val="0087084C"/>
    <w:rsid w:val="00872438"/>
    <w:rsid w:val="00872C11"/>
    <w:rsid w:val="00873DA6"/>
    <w:rsid w:val="0087516F"/>
    <w:rsid w:val="00875FF9"/>
    <w:rsid w:val="008773D4"/>
    <w:rsid w:val="0087759A"/>
    <w:rsid w:val="0088066B"/>
    <w:rsid w:val="00881D9E"/>
    <w:rsid w:val="00883AF5"/>
    <w:rsid w:val="00884F50"/>
    <w:rsid w:val="00885677"/>
    <w:rsid w:val="0088579B"/>
    <w:rsid w:val="00885D22"/>
    <w:rsid w:val="00887293"/>
    <w:rsid w:val="00890B4F"/>
    <w:rsid w:val="00891261"/>
    <w:rsid w:val="00891434"/>
    <w:rsid w:val="008917FE"/>
    <w:rsid w:val="0089215F"/>
    <w:rsid w:val="008931CB"/>
    <w:rsid w:val="00893D67"/>
    <w:rsid w:val="00894126"/>
    <w:rsid w:val="008942D8"/>
    <w:rsid w:val="008946B1"/>
    <w:rsid w:val="008951A5"/>
    <w:rsid w:val="00896CF7"/>
    <w:rsid w:val="008973BF"/>
    <w:rsid w:val="008A0D27"/>
    <w:rsid w:val="008A2129"/>
    <w:rsid w:val="008A27F1"/>
    <w:rsid w:val="008A391F"/>
    <w:rsid w:val="008A4395"/>
    <w:rsid w:val="008A44D6"/>
    <w:rsid w:val="008A4763"/>
    <w:rsid w:val="008A4BCA"/>
    <w:rsid w:val="008A5FFE"/>
    <w:rsid w:val="008A600F"/>
    <w:rsid w:val="008A659F"/>
    <w:rsid w:val="008A694F"/>
    <w:rsid w:val="008B2C25"/>
    <w:rsid w:val="008B51D5"/>
    <w:rsid w:val="008B54A9"/>
    <w:rsid w:val="008B66B4"/>
    <w:rsid w:val="008B771F"/>
    <w:rsid w:val="008B7F69"/>
    <w:rsid w:val="008C01A3"/>
    <w:rsid w:val="008C0774"/>
    <w:rsid w:val="008C0B01"/>
    <w:rsid w:val="008C444C"/>
    <w:rsid w:val="008C4C32"/>
    <w:rsid w:val="008C5010"/>
    <w:rsid w:val="008C675F"/>
    <w:rsid w:val="008D1306"/>
    <w:rsid w:val="008D21CF"/>
    <w:rsid w:val="008D4D17"/>
    <w:rsid w:val="008D5845"/>
    <w:rsid w:val="008D5B9B"/>
    <w:rsid w:val="008D5E1B"/>
    <w:rsid w:val="008D60ED"/>
    <w:rsid w:val="008D7D7B"/>
    <w:rsid w:val="008E194E"/>
    <w:rsid w:val="008E221B"/>
    <w:rsid w:val="008E2AD2"/>
    <w:rsid w:val="008E3E20"/>
    <w:rsid w:val="008E3F17"/>
    <w:rsid w:val="008E3F82"/>
    <w:rsid w:val="008E3FF6"/>
    <w:rsid w:val="008E49BA"/>
    <w:rsid w:val="008E5ABC"/>
    <w:rsid w:val="008E74A0"/>
    <w:rsid w:val="008E773D"/>
    <w:rsid w:val="008E7BFD"/>
    <w:rsid w:val="008F0378"/>
    <w:rsid w:val="008F0A21"/>
    <w:rsid w:val="008F132C"/>
    <w:rsid w:val="008F51DB"/>
    <w:rsid w:val="008F6BF4"/>
    <w:rsid w:val="00900542"/>
    <w:rsid w:val="0090197B"/>
    <w:rsid w:val="00903716"/>
    <w:rsid w:val="00904970"/>
    <w:rsid w:val="00904C4F"/>
    <w:rsid w:val="00905596"/>
    <w:rsid w:val="009070C3"/>
    <w:rsid w:val="00907E01"/>
    <w:rsid w:val="0091030E"/>
    <w:rsid w:val="009114ED"/>
    <w:rsid w:val="00911C66"/>
    <w:rsid w:val="00911C9E"/>
    <w:rsid w:val="00911F3F"/>
    <w:rsid w:val="009133F9"/>
    <w:rsid w:val="00914966"/>
    <w:rsid w:val="00914FA0"/>
    <w:rsid w:val="0091553B"/>
    <w:rsid w:val="009162A8"/>
    <w:rsid w:val="00920A12"/>
    <w:rsid w:val="00920A3B"/>
    <w:rsid w:val="00921055"/>
    <w:rsid w:val="00921731"/>
    <w:rsid w:val="00921805"/>
    <w:rsid w:val="0092297A"/>
    <w:rsid w:val="00923B88"/>
    <w:rsid w:val="00924371"/>
    <w:rsid w:val="00924CF7"/>
    <w:rsid w:val="00924FB4"/>
    <w:rsid w:val="00926003"/>
    <w:rsid w:val="009272AD"/>
    <w:rsid w:val="00930497"/>
    <w:rsid w:val="00930764"/>
    <w:rsid w:val="00930CA2"/>
    <w:rsid w:val="00931366"/>
    <w:rsid w:val="009317EE"/>
    <w:rsid w:val="0093194D"/>
    <w:rsid w:val="00933C00"/>
    <w:rsid w:val="00933C65"/>
    <w:rsid w:val="00934259"/>
    <w:rsid w:val="00937A4D"/>
    <w:rsid w:val="00937ABF"/>
    <w:rsid w:val="00937C87"/>
    <w:rsid w:val="00937F30"/>
    <w:rsid w:val="00941952"/>
    <w:rsid w:val="00942218"/>
    <w:rsid w:val="00942662"/>
    <w:rsid w:val="00942C50"/>
    <w:rsid w:val="009436F2"/>
    <w:rsid w:val="009442A8"/>
    <w:rsid w:val="009466C7"/>
    <w:rsid w:val="00946A8B"/>
    <w:rsid w:val="00947199"/>
    <w:rsid w:val="009504E1"/>
    <w:rsid w:val="0095067C"/>
    <w:rsid w:val="00951226"/>
    <w:rsid w:val="009513F6"/>
    <w:rsid w:val="00951607"/>
    <w:rsid w:val="009520D5"/>
    <w:rsid w:val="00954DD2"/>
    <w:rsid w:val="009556DB"/>
    <w:rsid w:val="00956DAB"/>
    <w:rsid w:val="00956DD0"/>
    <w:rsid w:val="009601C6"/>
    <w:rsid w:val="00960D28"/>
    <w:rsid w:val="00963880"/>
    <w:rsid w:val="00965385"/>
    <w:rsid w:val="009661DE"/>
    <w:rsid w:val="00966F6B"/>
    <w:rsid w:val="009670DB"/>
    <w:rsid w:val="0096734C"/>
    <w:rsid w:val="00967733"/>
    <w:rsid w:val="009701DC"/>
    <w:rsid w:val="0097062A"/>
    <w:rsid w:val="009715EE"/>
    <w:rsid w:val="0097235B"/>
    <w:rsid w:val="00972655"/>
    <w:rsid w:val="009753B0"/>
    <w:rsid w:val="00975659"/>
    <w:rsid w:val="009756F8"/>
    <w:rsid w:val="00975C5E"/>
    <w:rsid w:val="009765D3"/>
    <w:rsid w:val="00977CA1"/>
    <w:rsid w:val="00980D3F"/>
    <w:rsid w:val="009817F0"/>
    <w:rsid w:val="00981F21"/>
    <w:rsid w:val="009825FF"/>
    <w:rsid w:val="0098263D"/>
    <w:rsid w:val="00983DAF"/>
    <w:rsid w:val="00983E7C"/>
    <w:rsid w:val="009848A2"/>
    <w:rsid w:val="00984CA3"/>
    <w:rsid w:val="00985450"/>
    <w:rsid w:val="00985534"/>
    <w:rsid w:val="00987E9A"/>
    <w:rsid w:val="00987EF1"/>
    <w:rsid w:val="0099224C"/>
    <w:rsid w:val="00992706"/>
    <w:rsid w:val="00992C91"/>
    <w:rsid w:val="00992E41"/>
    <w:rsid w:val="009951E8"/>
    <w:rsid w:val="00995273"/>
    <w:rsid w:val="00996474"/>
    <w:rsid w:val="00996957"/>
    <w:rsid w:val="00996D83"/>
    <w:rsid w:val="00997118"/>
    <w:rsid w:val="00997567"/>
    <w:rsid w:val="009A2ADF"/>
    <w:rsid w:val="009A31D9"/>
    <w:rsid w:val="009A31ED"/>
    <w:rsid w:val="009A3DB7"/>
    <w:rsid w:val="009A46BC"/>
    <w:rsid w:val="009A58A1"/>
    <w:rsid w:val="009A6579"/>
    <w:rsid w:val="009B1261"/>
    <w:rsid w:val="009B23B3"/>
    <w:rsid w:val="009B4CF0"/>
    <w:rsid w:val="009B4F00"/>
    <w:rsid w:val="009B52D4"/>
    <w:rsid w:val="009B6846"/>
    <w:rsid w:val="009B6954"/>
    <w:rsid w:val="009B69D8"/>
    <w:rsid w:val="009C0DEB"/>
    <w:rsid w:val="009C2415"/>
    <w:rsid w:val="009C3438"/>
    <w:rsid w:val="009C360F"/>
    <w:rsid w:val="009C4323"/>
    <w:rsid w:val="009C72C5"/>
    <w:rsid w:val="009D2AF4"/>
    <w:rsid w:val="009D3335"/>
    <w:rsid w:val="009D342F"/>
    <w:rsid w:val="009D5750"/>
    <w:rsid w:val="009D6603"/>
    <w:rsid w:val="009D7F70"/>
    <w:rsid w:val="009E0D96"/>
    <w:rsid w:val="009E10D7"/>
    <w:rsid w:val="009E158B"/>
    <w:rsid w:val="009E1E6C"/>
    <w:rsid w:val="009E3370"/>
    <w:rsid w:val="009E5CE5"/>
    <w:rsid w:val="009E7E86"/>
    <w:rsid w:val="009F0480"/>
    <w:rsid w:val="009F0DAC"/>
    <w:rsid w:val="009F17CA"/>
    <w:rsid w:val="009F1F70"/>
    <w:rsid w:val="009F202C"/>
    <w:rsid w:val="009F21E1"/>
    <w:rsid w:val="009F2A80"/>
    <w:rsid w:val="009F3193"/>
    <w:rsid w:val="009F3394"/>
    <w:rsid w:val="009F3584"/>
    <w:rsid w:val="009F37A2"/>
    <w:rsid w:val="009F436E"/>
    <w:rsid w:val="009F49D0"/>
    <w:rsid w:val="009F54F8"/>
    <w:rsid w:val="009F7528"/>
    <w:rsid w:val="009F7F61"/>
    <w:rsid w:val="00A003A9"/>
    <w:rsid w:val="00A00A04"/>
    <w:rsid w:val="00A00E15"/>
    <w:rsid w:val="00A01F52"/>
    <w:rsid w:val="00A022A2"/>
    <w:rsid w:val="00A045FF"/>
    <w:rsid w:val="00A04DFA"/>
    <w:rsid w:val="00A05892"/>
    <w:rsid w:val="00A06D43"/>
    <w:rsid w:val="00A072AD"/>
    <w:rsid w:val="00A10A89"/>
    <w:rsid w:val="00A10D3D"/>
    <w:rsid w:val="00A13EB4"/>
    <w:rsid w:val="00A14C0B"/>
    <w:rsid w:val="00A16C12"/>
    <w:rsid w:val="00A16C65"/>
    <w:rsid w:val="00A16E3B"/>
    <w:rsid w:val="00A171D2"/>
    <w:rsid w:val="00A214EC"/>
    <w:rsid w:val="00A21B4B"/>
    <w:rsid w:val="00A21F47"/>
    <w:rsid w:val="00A2248B"/>
    <w:rsid w:val="00A22715"/>
    <w:rsid w:val="00A23E73"/>
    <w:rsid w:val="00A23F4E"/>
    <w:rsid w:val="00A243DD"/>
    <w:rsid w:val="00A24993"/>
    <w:rsid w:val="00A254D2"/>
    <w:rsid w:val="00A257AC"/>
    <w:rsid w:val="00A26F35"/>
    <w:rsid w:val="00A315F2"/>
    <w:rsid w:val="00A33A61"/>
    <w:rsid w:val="00A34CF9"/>
    <w:rsid w:val="00A34EE9"/>
    <w:rsid w:val="00A35601"/>
    <w:rsid w:val="00A37B9E"/>
    <w:rsid w:val="00A40E5F"/>
    <w:rsid w:val="00A4182A"/>
    <w:rsid w:val="00A420F4"/>
    <w:rsid w:val="00A45884"/>
    <w:rsid w:val="00A45EAB"/>
    <w:rsid w:val="00A461B0"/>
    <w:rsid w:val="00A47510"/>
    <w:rsid w:val="00A5004A"/>
    <w:rsid w:val="00A5479D"/>
    <w:rsid w:val="00A55391"/>
    <w:rsid w:val="00A56821"/>
    <w:rsid w:val="00A5793D"/>
    <w:rsid w:val="00A617D8"/>
    <w:rsid w:val="00A61D97"/>
    <w:rsid w:val="00A622DD"/>
    <w:rsid w:val="00A62AC5"/>
    <w:rsid w:val="00A66C39"/>
    <w:rsid w:val="00A70024"/>
    <w:rsid w:val="00A70093"/>
    <w:rsid w:val="00A715E8"/>
    <w:rsid w:val="00A71DE1"/>
    <w:rsid w:val="00A804E3"/>
    <w:rsid w:val="00A8053A"/>
    <w:rsid w:val="00A80676"/>
    <w:rsid w:val="00A84084"/>
    <w:rsid w:val="00A86FA8"/>
    <w:rsid w:val="00A87B85"/>
    <w:rsid w:val="00A9050F"/>
    <w:rsid w:val="00A925A7"/>
    <w:rsid w:val="00A925B6"/>
    <w:rsid w:val="00A931E4"/>
    <w:rsid w:val="00A938E6"/>
    <w:rsid w:val="00AA1031"/>
    <w:rsid w:val="00AA1564"/>
    <w:rsid w:val="00AA41D4"/>
    <w:rsid w:val="00AA4E77"/>
    <w:rsid w:val="00AA539A"/>
    <w:rsid w:val="00AA57FF"/>
    <w:rsid w:val="00AA5B65"/>
    <w:rsid w:val="00AA77C8"/>
    <w:rsid w:val="00AB068D"/>
    <w:rsid w:val="00AB0B75"/>
    <w:rsid w:val="00AB10C9"/>
    <w:rsid w:val="00AB194B"/>
    <w:rsid w:val="00AB4C9F"/>
    <w:rsid w:val="00AB5169"/>
    <w:rsid w:val="00AB5505"/>
    <w:rsid w:val="00AB5BE6"/>
    <w:rsid w:val="00AB7DE0"/>
    <w:rsid w:val="00AC139D"/>
    <w:rsid w:val="00AC1B48"/>
    <w:rsid w:val="00AC1F24"/>
    <w:rsid w:val="00AC3309"/>
    <w:rsid w:val="00AC3E8A"/>
    <w:rsid w:val="00AC4D9D"/>
    <w:rsid w:val="00AC75F7"/>
    <w:rsid w:val="00AD077F"/>
    <w:rsid w:val="00AD0A08"/>
    <w:rsid w:val="00AD2DA5"/>
    <w:rsid w:val="00AD42E5"/>
    <w:rsid w:val="00AD52B5"/>
    <w:rsid w:val="00AD5DCD"/>
    <w:rsid w:val="00AD67D6"/>
    <w:rsid w:val="00AD7C58"/>
    <w:rsid w:val="00AE01F2"/>
    <w:rsid w:val="00AE0EA9"/>
    <w:rsid w:val="00AE235B"/>
    <w:rsid w:val="00AE2F4D"/>
    <w:rsid w:val="00AE3CD6"/>
    <w:rsid w:val="00AE40E7"/>
    <w:rsid w:val="00AE4A69"/>
    <w:rsid w:val="00AE7883"/>
    <w:rsid w:val="00AF0143"/>
    <w:rsid w:val="00AF2F93"/>
    <w:rsid w:val="00AF6CBC"/>
    <w:rsid w:val="00AF7F3A"/>
    <w:rsid w:val="00B00538"/>
    <w:rsid w:val="00B00623"/>
    <w:rsid w:val="00B0080E"/>
    <w:rsid w:val="00B00A3B"/>
    <w:rsid w:val="00B01DE2"/>
    <w:rsid w:val="00B021DF"/>
    <w:rsid w:val="00B021E9"/>
    <w:rsid w:val="00B025E5"/>
    <w:rsid w:val="00B033FA"/>
    <w:rsid w:val="00B036A9"/>
    <w:rsid w:val="00B0571F"/>
    <w:rsid w:val="00B057AD"/>
    <w:rsid w:val="00B070C3"/>
    <w:rsid w:val="00B077AD"/>
    <w:rsid w:val="00B1018A"/>
    <w:rsid w:val="00B11B69"/>
    <w:rsid w:val="00B129E6"/>
    <w:rsid w:val="00B12EB1"/>
    <w:rsid w:val="00B135AB"/>
    <w:rsid w:val="00B135B3"/>
    <w:rsid w:val="00B14036"/>
    <w:rsid w:val="00B142D0"/>
    <w:rsid w:val="00B147AE"/>
    <w:rsid w:val="00B1737E"/>
    <w:rsid w:val="00B175F2"/>
    <w:rsid w:val="00B20421"/>
    <w:rsid w:val="00B20B59"/>
    <w:rsid w:val="00B21699"/>
    <w:rsid w:val="00B224CB"/>
    <w:rsid w:val="00B227FC"/>
    <w:rsid w:val="00B22E78"/>
    <w:rsid w:val="00B23379"/>
    <w:rsid w:val="00B23B72"/>
    <w:rsid w:val="00B24176"/>
    <w:rsid w:val="00B303E4"/>
    <w:rsid w:val="00B3134D"/>
    <w:rsid w:val="00B32AE9"/>
    <w:rsid w:val="00B334B5"/>
    <w:rsid w:val="00B35101"/>
    <w:rsid w:val="00B37E78"/>
    <w:rsid w:val="00B421FE"/>
    <w:rsid w:val="00B44036"/>
    <w:rsid w:val="00B457D6"/>
    <w:rsid w:val="00B46729"/>
    <w:rsid w:val="00B46E83"/>
    <w:rsid w:val="00B47613"/>
    <w:rsid w:val="00B47A70"/>
    <w:rsid w:val="00B47BCD"/>
    <w:rsid w:val="00B47D1E"/>
    <w:rsid w:val="00B47E4E"/>
    <w:rsid w:val="00B5060D"/>
    <w:rsid w:val="00B508AF"/>
    <w:rsid w:val="00B50A67"/>
    <w:rsid w:val="00B50CFF"/>
    <w:rsid w:val="00B5181F"/>
    <w:rsid w:val="00B52638"/>
    <w:rsid w:val="00B52704"/>
    <w:rsid w:val="00B543A5"/>
    <w:rsid w:val="00B5481D"/>
    <w:rsid w:val="00B550BF"/>
    <w:rsid w:val="00B55782"/>
    <w:rsid w:val="00B55859"/>
    <w:rsid w:val="00B57EC1"/>
    <w:rsid w:val="00B6162A"/>
    <w:rsid w:val="00B61B95"/>
    <w:rsid w:val="00B62A4C"/>
    <w:rsid w:val="00B62D81"/>
    <w:rsid w:val="00B64833"/>
    <w:rsid w:val="00B66D1E"/>
    <w:rsid w:val="00B66D29"/>
    <w:rsid w:val="00B66FC3"/>
    <w:rsid w:val="00B70A06"/>
    <w:rsid w:val="00B71A9A"/>
    <w:rsid w:val="00B71CCD"/>
    <w:rsid w:val="00B72CD3"/>
    <w:rsid w:val="00B73503"/>
    <w:rsid w:val="00B73B5E"/>
    <w:rsid w:val="00B75043"/>
    <w:rsid w:val="00B7525B"/>
    <w:rsid w:val="00B7617A"/>
    <w:rsid w:val="00B76B79"/>
    <w:rsid w:val="00B76C34"/>
    <w:rsid w:val="00B77577"/>
    <w:rsid w:val="00B77AC7"/>
    <w:rsid w:val="00B8055F"/>
    <w:rsid w:val="00B80EE9"/>
    <w:rsid w:val="00B80FCC"/>
    <w:rsid w:val="00B81B8B"/>
    <w:rsid w:val="00B8394A"/>
    <w:rsid w:val="00B84124"/>
    <w:rsid w:val="00B84EED"/>
    <w:rsid w:val="00B85466"/>
    <w:rsid w:val="00B85D43"/>
    <w:rsid w:val="00B90FAC"/>
    <w:rsid w:val="00B924F5"/>
    <w:rsid w:val="00B92A84"/>
    <w:rsid w:val="00B93A84"/>
    <w:rsid w:val="00B9442A"/>
    <w:rsid w:val="00B95514"/>
    <w:rsid w:val="00B95DAC"/>
    <w:rsid w:val="00B96466"/>
    <w:rsid w:val="00BA0095"/>
    <w:rsid w:val="00BA035B"/>
    <w:rsid w:val="00BA0931"/>
    <w:rsid w:val="00BA0C73"/>
    <w:rsid w:val="00BA0F33"/>
    <w:rsid w:val="00BA254E"/>
    <w:rsid w:val="00BA3037"/>
    <w:rsid w:val="00BA3DAB"/>
    <w:rsid w:val="00BA4569"/>
    <w:rsid w:val="00BA47EB"/>
    <w:rsid w:val="00BA6A6A"/>
    <w:rsid w:val="00BA7D5A"/>
    <w:rsid w:val="00BB2549"/>
    <w:rsid w:val="00BB301E"/>
    <w:rsid w:val="00BB3F63"/>
    <w:rsid w:val="00BB4381"/>
    <w:rsid w:val="00BB4E55"/>
    <w:rsid w:val="00BB6115"/>
    <w:rsid w:val="00BB669E"/>
    <w:rsid w:val="00BB6EBC"/>
    <w:rsid w:val="00BB7E46"/>
    <w:rsid w:val="00BB7E64"/>
    <w:rsid w:val="00BC0342"/>
    <w:rsid w:val="00BC0B9B"/>
    <w:rsid w:val="00BC0EA2"/>
    <w:rsid w:val="00BC391D"/>
    <w:rsid w:val="00BC4F23"/>
    <w:rsid w:val="00BC59FD"/>
    <w:rsid w:val="00BC6842"/>
    <w:rsid w:val="00BC7C73"/>
    <w:rsid w:val="00BD140E"/>
    <w:rsid w:val="00BD16E6"/>
    <w:rsid w:val="00BD18F6"/>
    <w:rsid w:val="00BD23AA"/>
    <w:rsid w:val="00BD260B"/>
    <w:rsid w:val="00BD35DA"/>
    <w:rsid w:val="00BD39D8"/>
    <w:rsid w:val="00BD559E"/>
    <w:rsid w:val="00BD7E05"/>
    <w:rsid w:val="00BE0593"/>
    <w:rsid w:val="00BE24B6"/>
    <w:rsid w:val="00BE2B74"/>
    <w:rsid w:val="00BE2D46"/>
    <w:rsid w:val="00BE3D84"/>
    <w:rsid w:val="00BE46B0"/>
    <w:rsid w:val="00BF030F"/>
    <w:rsid w:val="00BF3062"/>
    <w:rsid w:val="00BF3EE4"/>
    <w:rsid w:val="00BF446A"/>
    <w:rsid w:val="00BF4BE7"/>
    <w:rsid w:val="00BF51F1"/>
    <w:rsid w:val="00BF5CBE"/>
    <w:rsid w:val="00BF7A10"/>
    <w:rsid w:val="00BF7E58"/>
    <w:rsid w:val="00BF7EE6"/>
    <w:rsid w:val="00C00528"/>
    <w:rsid w:val="00C02F0E"/>
    <w:rsid w:val="00C043B6"/>
    <w:rsid w:val="00C044EB"/>
    <w:rsid w:val="00C0487B"/>
    <w:rsid w:val="00C0589B"/>
    <w:rsid w:val="00C061B1"/>
    <w:rsid w:val="00C0734A"/>
    <w:rsid w:val="00C0F1BA"/>
    <w:rsid w:val="00C10143"/>
    <w:rsid w:val="00C10202"/>
    <w:rsid w:val="00C10795"/>
    <w:rsid w:val="00C10DBE"/>
    <w:rsid w:val="00C124A3"/>
    <w:rsid w:val="00C124BF"/>
    <w:rsid w:val="00C14579"/>
    <w:rsid w:val="00C15475"/>
    <w:rsid w:val="00C15A1C"/>
    <w:rsid w:val="00C16522"/>
    <w:rsid w:val="00C169EB"/>
    <w:rsid w:val="00C206B1"/>
    <w:rsid w:val="00C217EA"/>
    <w:rsid w:val="00C21BA6"/>
    <w:rsid w:val="00C224D8"/>
    <w:rsid w:val="00C22960"/>
    <w:rsid w:val="00C23EF1"/>
    <w:rsid w:val="00C309D9"/>
    <w:rsid w:val="00C34AF3"/>
    <w:rsid w:val="00C34E61"/>
    <w:rsid w:val="00C350FD"/>
    <w:rsid w:val="00C35762"/>
    <w:rsid w:val="00C35897"/>
    <w:rsid w:val="00C35BF6"/>
    <w:rsid w:val="00C371C4"/>
    <w:rsid w:val="00C40895"/>
    <w:rsid w:val="00C40D7F"/>
    <w:rsid w:val="00C425A4"/>
    <w:rsid w:val="00C42794"/>
    <w:rsid w:val="00C428D4"/>
    <w:rsid w:val="00C42F49"/>
    <w:rsid w:val="00C44004"/>
    <w:rsid w:val="00C4622C"/>
    <w:rsid w:val="00C47AEB"/>
    <w:rsid w:val="00C50756"/>
    <w:rsid w:val="00C5086D"/>
    <w:rsid w:val="00C508E1"/>
    <w:rsid w:val="00C51638"/>
    <w:rsid w:val="00C517C3"/>
    <w:rsid w:val="00C535FE"/>
    <w:rsid w:val="00C53B2C"/>
    <w:rsid w:val="00C54276"/>
    <w:rsid w:val="00C56514"/>
    <w:rsid w:val="00C56E34"/>
    <w:rsid w:val="00C574F3"/>
    <w:rsid w:val="00C57B48"/>
    <w:rsid w:val="00C605DE"/>
    <w:rsid w:val="00C6093F"/>
    <w:rsid w:val="00C61029"/>
    <w:rsid w:val="00C61A18"/>
    <w:rsid w:val="00C64DFB"/>
    <w:rsid w:val="00C70029"/>
    <w:rsid w:val="00C70F19"/>
    <w:rsid w:val="00C712E8"/>
    <w:rsid w:val="00C71FCE"/>
    <w:rsid w:val="00C737D5"/>
    <w:rsid w:val="00C74B28"/>
    <w:rsid w:val="00C759D3"/>
    <w:rsid w:val="00C760E6"/>
    <w:rsid w:val="00C76632"/>
    <w:rsid w:val="00C806A3"/>
    <w:rsid w:val="00C80772"/>
    <w:rsid w:val="00C8144D"/>
    <w:rsid w:val="00C8349F"/>
    <w:rsid w:val="00C83962"/>
    <w:rsid w:val="00C871CE"/>
    <w:rsid w:val="00C873C0"/>
    <w:rsid w:val="00C87612"/>
    <w:rsid w:val="00C90734"/>
    <w:rsid w:val="00C911D3"/>
    <w:rsid w:val="00C91722"/>
    <w:rsid w:val="00C918EB"/>
    <w:rsid w:val="00C91A13"/>
    <w:rsid w:val="00C92F0C"/>
    <w:rsid w:val="00C936C4"/>
    <w:rsid w:val="00C93773"/>
    <w:rsid w:val="00C95065"/>
    <w:rsid w:val="00C95B07"/>
    <w:rsid w:val="00C97098"/>
    <w:rsid w:val="00C97AF1"/>
    <w:rsid w:val="00C97F23"/>
    <w:rsid w:val="00CA042E"/>
    <w:rsid w:val="00CA1384"/>
    <w:rsid w:val="00CA28DE"/>
    <w:rsid w:val="00CA34E5"/>
    <w:rsid w:val="00CA3A48"/>
    <w:rsid w:val="00CA4AD5"/>
    <w:rsid w:val="00CA4BE7"/>
    <w:rsid w:val="00CA6B85"/>
    <w:rsid w:val="00CA7158"/>
    <w:rsid w:val="00CA7CAE"/>
    <w:rsid w:val="00CA7ECC"/>
    <w:rsid w:val="00CB1818"/>
    <w:rsid w:val="00CB4ADD"/>
    <w:rsid w:val="00CB5419"/>
    <w:rsid w:val="00CB5E49"/>
    <w:rsid w:val="00CB7D10"/>
    <w:rsid w:val="00CC1235"/>
    <w:rsid w:val="00CC4271"/>
    <w:rsid w:val="00CC490C"/>
    <w:rsid w:val="00CC510F"/>
    <w:rsid w:val="00CC564E"/>
    <w:rsid w:val="00CC57E0"/>
    <w:rsid w:val="00CC6A74"/>
    <w:rsid w:val="00CC6A8D"/>
    <w:rsid w:val="00CC6F68"/>
    <w:rsid w:val="00CC7827"/>
    <w:rsid w:val="00CD0568"/>
    <w:rsid w:val="00CD06C0"/>
    <w:rsid w:val="00CD08A9"/>
    <w:rsid w:val="00CD0DF6"/>
    <w:rsid w:val="00CD214C"/>
    <w:rsid w:val="00CD2CD8"/>
    <w:rsid w:val="00CD2CD9"/>
    <w:rsid w:val="00CD2FBD"/>
    <w:rsid w:val="00CD4815"/>
    <w:rsid w:val="00CD5DBB"/>
    <w:rsid w:val="00CD6453"/>
    <w:rsid w:val="00CD66B4"/>
    <w:rsid w:val="00CD72B6"/>
    <w:rsid w:val="00CD7D45"/>
    <w:rsid w:val="00CE0431"/>
    <w:rsid w:val="00CE08D1"/>
    <w:rsid w:val="00CE095F"/>
    <w:rsid w:val="00CE098B"/>
    <w:rsid w:val="00CE567A"/>
    <w:rsid w:val="00CE5BD7"/>
    <w:rsid w:val="00CE7E25"/>
    <w:rsid w:val="00CF017C"/>
    <w:rsid w:val="00CF1455"/>
    <w:rsid w:val="00CF1C1A"/>
    <w:rsid w:val="00CF20AA"/>
    <w:rsid w:val="00CF234F"/>
    <w:rsid w:val="00CF2665"/>
    <w:rsid w:val="00CF3490"/>
    <w:rsid w:val="00CF404E"/>
    <w:rsid w:val="00CF58D3"/>
    <w:rsid w:val="00CF6F28"/>
    <w:rsid w:val="00CF724F"/>
    <w:rsid w:val="00CF7A6A"/>
    <w:rsid w:val="00CF7B8A"/>
    <w:rsid w:val="00D0007C"/>
    <w:rsid w:val="00D0022A"/>
    <w:rsid w:val="00D019C9"/>
    <w:rsid w:val="00D024A7"/>
    <w:rsid w:val="00D029C6"/>
    <w:rsid w:val="00D03EB6"/>
    <w:rsid w:val="00D049C3"/>
    <w:rsid w:val="00D04D4D"/>
    <w:rsid w:val="00D04D50"/>
    <w:rsid w:val="00D05885"/>
    <w:rsid w:val="00D05F2D"/>
    <w:rsid w:val="00D06A6F"/>
    <w:rsid w:val="00D07997"/>
    <w:rsid w:val="00D127A6"/>
    <w:rsid w:val="00D12A5A"/>
    <w:rsid w:val="00D1385C"/>
    <w:rsid w:val="00D13E6D"/>
    <w:rsid w:val="00D13E98"/>
    <w:rsid w:val="00D1404D"/>
    <w:rsid w:val="00D140BD"/>
    <w:rsid w:val="00D1444C"/>
    <w:rsid w:val="00D146E1"/>
    <w:rsid w:val="00D14F4C"/>
    <w:rsid w:val="00D1536E"/>
    <w:rsid w:val="00D1719A"/>
    <w:rsid w:val="00D17335"/>
    <w:rsid w:val="00D174E8"/>
    <w:rsid w:val="00D17A61"/>
    <w:rsid w:val="00D17B4A"/>
    <w:rsid w:val="00D17E40"/>
    <w:rsid w:val="00D20984"/>
    <w:rsid w:val="00D20D2A"/>
    <w:rsid w:val="00D20F39"/>
    <w:rsid w:val="00D22B80"/>
    <w:rsid w:val="00D22E35"/>
    <w:rsid w:val="00D22EF8"/>
    <w:rsid w:val="00D231BA"/>
    <w:rsid w:val="00D2410F"/>
    <w:rsid w:val="00D242C3"/>
    <w:rsid w:val="00D244C4"/>
    <w:rsid w:val="00D24A4F"/>
    <w:rsid w:val="00D27530"/>
    <w:rsid w:val="00D3012A"/>
    <w:rsid w:val="00D3047B"/>
    <w:rsid w:val="00D30F62"/>
    <w:rsid w:val="00D30FDE"/>
    <w:rsid w:val="00D3248F"/>
    <w:rsid w:val="00D3329B"/>
    <w:rsid w:val="00D3345B"/>
    <w:rsid w:val="00D3367B"/>
    <w:rsid w:val="00D37801"/>
    <w:rsid w:val="00D4136E"/>
    <w:rsid w:val="00D41643"/>
    <w:rsid w:val="00D4311C"/>
    <w:rsid w:val="00D43D8A"/>
    <w:rsid w:val="00D44334"/>
    <w:rsid w:val="00D44B94"/>
    <w:rsid w:val="00D45BE2"/>
    <w:rsid w:val="00D47517"/>
    <w:rsid w:val="00D4794D"/>
    <w:rsid w:val="00D507E3"/>
    <w:rsid w:val="00D51917"/>
    <w:rsid w:val="00D519CD"/>
    <w:rsid w:val="00D52667"/>
    <w:rsid w:val="00D526E2"/>
    <w:rsid w:val="00D531B5"/>
    <w:rsid w:val="00D53938"/>
    <w:rsid w:val="00D544A1"/>
    <w:rsid w:val="00D557F4"/>
    <w:rsid w:val="00D55973"/>
    <w:rsid w:val="00D56154"/>
    <w:rsid w:val="00D5618B"/>
    <w:rsid w:val="00D576AA"/>
    <w:rsid w:val="00D57BAE"/>
    <w:rsid w:val="00D5BBE4"/>
    <w:rsid w:val="00D60822"/>
    <w:rsid w:val="00D60B0A"/>
    <w:rsid w:val="00D60C4E"/>
    <w:rsid w:val="00D625DF"/>
    <w:rsid w:val="00D63D7E"/>
    <w:rsid w:val="00D64A69"/>
    <w:rsid w:val="00D65797"/>
    <w:rsid w:val="00D67A13"/>
    <w:rsid w:val="00D7256A"/>
    <w:rsid w:val="00D72B86"/>
    <w:rsid w:val="00D768F0"/>
    <w:rsid w:val="00D82748"/>
    <w:rsid w:val="00D83CFF"/>
    <w:rsid w:val="00D845D6"/>
    <w:rsid w:val="00D848B0"/>
    <w:rsid w:val="00D859F8"/>
    <w:rsid w:val="00D86A21"/>
    <w:rsid w:val="00D8700C"/>
    <w:rsid w:val="00D870B7"/>
    <w:rsid w:val="00D87191"/>
    <w:rsid w:val="00D90D97"/>
    <w:rsid w:val="00D9112A"/>
    <w:rsid w:val="00D9164E"/>
    <w:rsid w:val="00D92CC7"/>
    <w:rsid w:val="00D92F02"/>
    <w:rsid w:val="00D933BC"/>
    <w:rsid w:val="00D935B2"/>
    <w:rsid w:val="00D938FB"/>
    <w:rsid w:val="00D96B8E"/>
    <w:rsid w:val="00DA04F3"/>
    <w:rsid w:val="00DA0CE6"/>
    <w:rsid w:val="00DA103E"/>
    <w:rsid w:val="00DA36EF"/>
    <w:rsid w:val="00DA439B"/>
    <w:rsid w:val="00DA657C"/>
    <w:rsid w:val="00DB1D28"/>
    <w:rsid w:val="00DB20AB"/>
    <w:rsid w:val="00DB3169"/>
    <w:rsid w:val="00DB316D"/>
    <w:rsid w:val="00DB4080"/>
    <w:rsid w:val="00DB415F"/>
    <w:rsid w:val="00DB6422"/>
    <w:rsid w:val="00DB7B64"/>
    <w:rsid w:val="00DC1157"/>
    <w:rsid w:val="00DC1BD0"/>
    <w:rsid w:val="00DC2149"/>
    <w:rsid w:val="00DC4B92"/>
    <w:rsid w:val="00DC6156"/>
    <w:rsid w:val="00DC68AF"/>
    <w:rsid w:val="00DC68CD"/>
    <w:rsid w:val="00DC6FD4"/>
    <w:rsid w:val="00DC741F"/>
    <w:rsid w:val="00DD301D"/>
    <w:rsid w:val="00DD3954"/>
    <w:rsid w:val="00DD5686"/>
    <w:rsid w:val="00DD6139"/>
    <w:rsid w:val="00DD697E"/>
    <w:rsid w:val="00DD7468"/>
    <w:rsid w:val="00DE082C"/>
    <w:rsid w:val="00DE0CEC"/>
    <w:rsid w:val="00DE168F"/>
    <w:rsid w:val="00DE2336"/>
    <w:rsid w:val="00DE38A1"/>
    <w:rsid w:val="00DE38F1"/>
    <w:rsid w:val="00DE3CA4"/>
    <w:rsid w:val="00DE4DD1"/>
    <w:rsid w:val="00DE57C5"/>
    <w:rsid w:val="00DE70E5"/>
    <w:rsid w:val="00DE73D6"/>
    <w:rsid w:val="00DE7EDA"/>
    <w:rsid w:val="00DF0B16"/>
    <w:rsid w:val="00DF1BB5"/>
    <w:rsid w:val="00DF4418"/>
    <w:rsid w:val="00DF4F5E"/>
    <w:rsid w:val="00DF53B0"/>
    <w:rsid w:val="00DF6467"/>
    <w:rsid w:val="00DF67AF"/>
    <w:rsid w:val="00DF6D0D"/>
    <w:rsid w:val="00E00466"/>
    <w:rsid w:val="00E01008"/>
    <w:rsid w:val="00E01CD7"/>
    <w:rsid w:val="00E04CB4"/>
    <w:rsid w:val="00E05367"/>
    <w:rsid w:val="00E057C5"/>
    <w:rsid w:val="00E057D7"/>
    <w:rsid w:val="00E061DB"/>
    <w:rsid w:val="00E101E7"/>
    <w:rsid w:val="00E1276E"/>
    <w:rsid w:val="00E16A99"/>
    <w:rsid w:val="00E175B4"/>
    <w:rsid w:val="00E17670"/>
    <w:rsid w:val="00E2064B"/>
    <w:rsid w:val="00E2096D"/>
    <w:rsid w:val="00E20F33"/>
    <w:rsid w:val="00E21061"/>
    <w:rsid w:val="00E211CD"/>
    <w:rsid w:val="00E2130B"/>
    <w:rsid w:val="00E2132F"/>
    <w:rsid w:val="00E225D6"/>
    <w:rsid w:val="00E237C5"/>
    <w:rsid w:val="00E23D63"/>
    <w:rsid w:val="00E23FF1"/>
    <w:rsid w:val="00E24472"/>
    <w:rsid w:val="00E2452F"/>
    <w:rsid w:val="00E24588"/>
    <w:rsid w:val="00E26403"/>
    <w:rsid w:val="00E26E63"/>
    <w:rsid w:val="00E2782E"/>
    <w:rsid w:val="00E27983"/>
    <w:rsid w:val="00E30816"/>
    <w:rsid w:val="00E30C1E"/>
    <w:rsid w:val="00E30E6F"/>
    <w:rsid w:val="00E33915"/>
    <w:rsid w:val="00E35384"/>
    <w:rsid w:val="00E36869"/>
    <w:rsid w:val="00E36BC9"/>
    <w:rsid w:val="00E41EDF"/>
    <w:rsid w:val="00E4258B"/>
    <w:rsid w:val="00E43913"/>
    <w:rsid w:val="00E512AD"/>
    <w:rsid w:val="00E512D7"/>
    <w:rsid w:val="00E516E0"/>
    <w:rsid w:val="00E51E9F"/>
    <w:rsid w:val="00E520CF"/>
    <w:rsid w:val="00E52274"/>
    <w:rsid w:val="00E54510"/>
    <w:rsid w:val="00E545BB"/>
    <w:rsid w:val="00E560C9"/>
    <w:rsid w:val="00E5616C"/>
    <w:rsid w:val="00E604F7"/>
    <w:rsid w:val="00E606E9"/>
    <w:rsid w:val="00E60B88"/>
    <w:rsid w:val="00E60C8F"/>
    <w:rsid w:val="00E60DED"/>
    <w:rsid w:val="00E60F50"/>
    <w:rsid w:val="00E612BA"/>
    <w:rsid w:val="00E613D7"/>
    <w:rsid w:val="00E6196D"/>
    <w:rsid w:val="00E626E0"/>
    <w:rsid w:val="00E650DD"/>
    <w:rsid w:val="00E65DCB"/>
    <w:rsid w:val="00E67509"/>
    <w:rsid w:val="00E70F2C"/>
    <w:rsid w:val="00E735B5"/>
    <w:rsid w:val="00E74A3A"/>
    <w:rsid w:val="00E750E0"/>
    <w:rsid w:val="00E77D0E"/>
    <w:rsid w:val="00E801A8"/>
    <w:rsid w:val="00E8047E"/>
    <w:rsid w:val="00E81E31"/>
    <w:rsid w:val="00E82B64"/>
    <w:rsid w:val="00E84298"/>
    <w:rsid w:val="00E8473C"/>
    <w:rsid w:val="00E84B29"/>
    <w:rsid w:val="00E85C20"/>
    <w:rsid w:val="00E85FA8"/>
    <w:rsid w:val="00E86005"/>
    <w:rsid w:val="00E86526"/>
    <w:rsid w:val="00E867A3"/>
    <w:rsid w:val="00E87665"/>
    <w:rsid w:val="00E92A2C"/>
    <w:rsid w:val="00E92AAE"/>
    <w:rsid w:val="00E930DE"/>
    <w:rsid w:val="00E9478E"/>
    <w:rsid w:val="00E95135"/>
    <w:rsid w:val="00E96157"/>
    <w:rsid w:val="00E962A5"/>
    <w:rsid w:val="00E962CC"/>
    <w:rsid w:val="00E97A46"/>
    <w:rsid w:val="00EA03EC"/>
    <w:rsid w:val="00EA275C"/>
    <w:rsid w:val="00EA2B62"/>
    <w:rsid w:val="00EA31C1"/>
    <w:rsid w:val="00EA3468"/>
    <w:rsid w:val="00EA3E0E"/>
    <w:rsid w:val="00EA4B17"/>
    <w:rsid w:val="00EA5725"/>
    <w:rsid w:val="00EB01CF"/>
    <w:rsid w:val="00EB1295"/>
    <w:rsid w:val="00EB43E9"/>
    <w:rsid w:val="00EB4F50"/>
    <w:rsid w:val="00EB53B6"/>
    <w:rsid w:val="00EB5A69"/>
    <w:rsid w:val="00EB6079"/>
    <w:rsid w:val="00EB6A64"/>
    <w:rsid w:val="00EB7632"/>
    <w:rsid w:val="00EC00EC"/>
    <w:rsid w:val="00EC138A"/>
    <w:rsid w:val="00EC3003"/>
    <w:rsid w:val="00EC391F"/>
    <w:rsid w:val="00EC53DE"/>
    <w:rsid w:val="00EC7BF9"/>
    <w:rsid w:val="00ED0416"/>
    <w:rsid w:val="00ED0988"/>
    <w:rsid w:val="00ED16EF"/>
    <w:rsid w:val="00ED1755"/>
    <w:rsid w:val="00ED1BFB"/>
    <w:rsid w:val="00ED275E"/>
    <w:rsid w:val="00ED2E59"/>
    <w:rsid w:val="00ED3390"/>
    <w:rsid w:val="00ED3B5C"/>
    <w:rsid w:val="00ED3FCF"/>
    <w:rsid w:val="00ED4471"/>
    <w:rsid w:val="00ED54FB"/>
    <w:rsid w:val="00ED5861"/>
    <w:rsid w:val="00ED77FA"/>
    <w:rsid w:val="00EE3227"/>
    <w:rsid w:val="00EE395D"/>
    <w:rsid w:val="00EE3B7C"/>
    <w:rsid w:val="00EE594E"/>
    <w:rsid w:val="00EE5AAA"/>
    <w:rsid w:val="00EE723E"/>
    <w:rsid w:val="00EF1D83"/>
    <w:rsid w:val="00EF209E"/>
    <w:rsid w:val="00EF3B25"/>
    <w:rsid w:val="00EF5908"/>
    <w:rsid w:val="00EF5F38"/>
    <w:rsid w:val="00EF7A09"/>
    <w:rsid w:val="00F005ED"/>
    <w:rsid w:val="00F014E3"/>
    <w:rsid w:val="00F01E5B"/>
    <w:rsid w:val="00F02105"/>
    <w:rsid w:val="00F03512"/>
    <w:rsid w:val="00F03A6E"/>
    <w:rsid w:val="00F0498E"/>
    <w:rsid w:val="00F04B47"/>
    <w:rsid w:val="00F04D4C"/>
    <w:rsid w:val="00F0CD3E"/>
    <w:rsid w:val="00F1012D"/>
    <w:rsid w:val="00F1127C"/>
    <w:rsid w:val="00F1253C"/>
    <w:rsid w:val="00F12CE6"/>
    <w:rsid w:val="00F14E5B"/>
    <w:rsid w:val="00F1513E"/>
    <w:rsid w:val="00F1608A"/>
    <w:rsid w:val="00F16C84"/>
    <w:rsid w:val="00F1738C"/>
    <w:rsid w:val="00F17CC1"/>
    <w:rsid w:val="00F209E5"/>
    <w:rsid w:val="00F22167"/>
    <w:rsid w:val="00F227AD"/>
    <w:rsid w:val="00F22EF3"/>
    <w:rsid w:val="00F22F0B"/>
    <w:rsid w:val="00F25B10"/>
    <w:rsid w:val="00F25F62"/>
    <w:rsid w:val="00F263D3"/>
    <w:rsid w:val="00F30938"/>
    <w:rsid w:val="00F311BA"/>
    <w:rsid w:val="00F33881"/>
    <w:rsid w:val="00F33968"/>
    <w:rsid w:val="00F344C1"/>
    <w:rsid w:val="00F349E8"/>
    <w:rsid w:val="00F34DCE"/>
    <w:rsid w:val="00F359C7"/>
    <w:rsid w:val="00F360E3"/>
    <w:rsid w:val="00F36AC5"/>
    <w:rsid w:val="00F36EED"/>
    <w:rsid w:val="00F404B3"/>
    <w:rsid w:val="00F408B5"/>
    <w:rsid w:val="00F44577"/>
    <w:rsid w:val="00F4514D"/>
    <w:rsid w:val="00F45E4F"/>
    <w:rsid w:val="00F4665B"/>
    <w:rsid w:val="00F467B6"/>
    <w:rsid w:val="00F47CAD"/>
    <w:rsid w:val="00F52DF9"/>
    <w:rsid w:val="00F53C56"/>
    <w:rsid w:val="00F53DA4"/>
    <w:rsid w:val="00F54501"/>
    <w:rsid w:val="00F548DA"/>
    <w:rsid w:val="00F54A76"/>
    <w:rsid w:val="00F56C1B"/>
    <w:rsid w:val="00F5725E"/>
    <w:rsid w:val="00F607AC"/>
    <w:rsid w:val="00F60A67"/>
    <w:rsid w:val="00F60DE8"/>
    <w:rsid w:val="00F61809"/>
    <w:rsid w:val="00F631F0"/>
    <w:rsid w:val="00F63289"/>
    <w:rsid w:val="00F663A8"/>
    <w:rsid w:val="00F665E8"/>
    <w:rsid w:val="00F6771E"/>
    <w:rsid w:val="00F67B1B"/>
    <w:rsid w:val="00F71EB9"/>
    <w:rsid w:val="00F7304B"/>
    <w:rsid w:val="00F766F6"/>
    <w:rsid w:val="00F804C4"/>
    <w:rsid w:val="00F8115D"/>
    <w:rsid w:val="00F81DDD"/>
    <w:rsid w:val="00F82E2F"/>
    <w:rsid w:val="00F833F9"/>
    <w:rsid w:val="00F87185"/>
    <w:rsid w:val="00F878D5"/>
    <w:rsid w:val="00F9048D"/>
    <w:rsid w:val="00F90879"/>
    <w:rsid w:val="00F91A85"/>
    <w:rsid w:val="00F91CA2"/>
    <w:rsid w:val="00F92102"/>
    <w:rsid w:val="00F9264B"/>
    <w:rsid w:val="00F931A5"/>
    <w:rsid w:val="00F936CB"/>
    <w:rsid w:val="00F94067"/>
    <w:rsid w:val="00F94C6B"/>
    <w:rsid w:val="00F94D1D"/>
    <w:rsid w:val="00F9595A"/>
    <w:rsid w:val="00F96DA1"/>
    <w:rsid w:val="00F97C86"/>
    <w:rsid w:val="00FA3170"/>
    <w:rsid w:val="00FA3D6A"/>
    <w:rsid w:val="00FA454E"/>
    <w:rsid w:val="00FA45E7"/>
    <w:rsid w:val="00FA460E"/>
    <w:rsid w:val="00FA4EE6"/>
    <w:rsid w:val="00FA6CD3"/>
    <w:rsid w:val="00FA6F81"/>
    <w:rsid w:val="00FB389D"/>
    <w:rsid w:val="00FB5F1E"/>
    <w:rsid w:val="00FB659D"/>
    <w:rsid w:val="00FC2909"/>
    <w:rsid w:val="00FC336C"/>
    <w:rsid w:val="00FC35BD"/>
    <w:rsid w:val="00FC3C74"/>
    <w:rsid w:val="00FC6383"/>
    <w:rsid w:val="00FC6E3D"/>
    <w:rsid w:val="00FC7E1D"/>
    <w:rsid w:val="00FD07B4"/>
    <w:rsid w:val="00FD1BE5"/>
    <w:rsid w:val="00FD24ED"/>
    <w:rsid w:val="00FD2F5E"/>
    <w:rsid w:val="00FD37FF"/>
    <w:rsid w:val="00FD4A9E"/>
    <w:rsid w:val="00FD4ACD"/>
    <w:rsid w:val="00FD5950"/>
    <w:rsid w:val="00FD5E8C"/>
    <w:rsid w:val="00FE1E7D"/>
    <w:rsid w:val="00FE21DA"/>
    <w:rsid w:val="00FE238B"/>
    <w:rsid w:val="00FE29A6"/>
    <w:rsid w:val="00FE2B12"/>
    <w:rsid w:val="00FE3E26"/>
    <w:rsid w:val="00FE45E5"/>
    <w:rsid w:val="00FE4CCD"/>
    <w:rsid w:val="00FE5521"/>
    <w:rsid w:val="00FE685B"/>
    <w:rsid w:val="00FE7209"/>
    <w:rsid w:val="00FE7CFF"/>
    <w:rsid w:val="00FF104B"/>
    <w:rsid w:val="00FF14AF"/>
    <w:rsid w:val="00FF22E0"/>
    <w:rsid w:val="00FF45E9"/>
    <w:rsid w:val="00FF5B92"/>
    <w:rsid w:val="00FF685B"/>
    <w:rsid w:val="00FF79B7"/>
    <w:rsid w:val="0118B2D1"/>
    <w:rsid w:val="01388D34"/>
    <w:rsid w:val="015EBDC7"/>
    <w:rsid w:val="01A5DBD0"/>
    <w:rsid w:val="01BF89F3"/>
    <w:rsid w:val="0210440C"/>
    <w:rsid w:val="0217161E"/>
    <w:rsid w:val="0234C07A"/>
    <w:rsid w:val="025F9871"/>
    <w:rsid w:val="028B63E3"/>
    <w:rsid w:val="02B07910"/>
    <w:rsid w:val="02B29DE3"/>
    <w:rsid w:val="02D98DC1"/>
    <w:rsid w:val="02E33B45"/>
    <w:rsid w:val="02E40B2D"/>
    <w:rsid w:val="02ECEBFE"/>
    <w:rsid w:val="030AA18E"/>
    <w:rsid w:val="030AE887"/>
    <w:rsid w:val="031948DF"/>
    <w:rsid w:val="03361250"/>
    <w:rsid w:val="033BFFAC"/>
    <w:rsid w:val="033C7DED"/>
    <w:rsid w:val="034FC91D"/>
    <w:rsid w:val="03836C27"/>
    <w:rsid w:val="03A6C79E"/>
    <w:rsid w:val="03DFF782"/>
    <w:rsid w:val="03ED2612"/>
    <w:rsid w:val="04219B31"/>
    <w:rsid w:val="046E2053"/>
    <w:rsid w:val="0473C366"/>
    <w:rsid w:val="048C02D7"/>
    <w:rsid w:val="0506E477"/>
    <w:rsid w:val="051C3DE8"/>
    <w:rsid w:val="0529ACA2"/>
    <w:rsid w:val="055C28D2"/>
    <w:rsid w:val="05677FDF"/>
    <w:rsid w:val="056A7BDA"/>
    <w:rsid w:val="056E14EC"/>
    <w:rsid w:val="057A59EA"/>
    <w:rsid w:val="05A5C3D1"/>
    <w:rsid w:val="05B79D20"/>
    <w:rsid w:val="05CA89EA"/>
    <w:rsid w:val="060C2A55"/>
    <w:rsid w:val="061ED9E6"/>
    <w:rsid w:val="06280701"/>
    <w:rsid w:val="0629D9BE"/>
    <w:rsid w:val="063A2C20"/>
    <w:rsid w:val="06741F3D"/>
    <w:rsid w:val="069CE7E3"/>
    <w:rsid w:val="06C6F1D3"/>
    <w:rsid w:val="06C8C0F5"/>
    <w:rsid w:val="06CCAC05"/>
    <w:rsid w:val="07039118"/>
    <w:rsid w:val="070F9955"/>
    <w:rsid w:val="072A7A92"/>
    <w:rsid w:val="072A7CEA"/>
    <w:rsid w:val="07446AF8"/>
    <w:rsid w:val="075A1930"/>
    <w:rsid w:val="0767E3FE"/>
    <w:rsid w:val="07761F5D"/>
    <w:rsid w:val="07874F35"/>
    <w:rsid w:val="078AD0C1"/>
    <w:rsid w:val="078C528C"/>
    <w:rsid w:val="07933458"/>
    <w:rsid w:val="07A5C97A"/>
    <w:rsid w:val="07AAC5CD"/>
    <w:rsid w:val="07CC9712"/>
    <w:rsid w:val="07F943F2"/>
    <w:rsid w:val="0800F53C"/>
    <w:rsid w:val="08704D02"/>
    <w:rsid w:val="08836D04"/>
    <w:rsid w:val="08940A18"/>
    <w:rsid w:val="08AC2EE2"/>
    <w:rsid w:val="08EF27B9"/>
    <w:rsid w:val="0900AD8B"/>
    <w:rsid w:val="093A2FF8"/>
    <w:rsid w:val="097EDEB4"/>
    <w:rsid w:val="09B15BCE"/>
    <w:rsid w:val="09B37E61"/>
    <w:rsid w:val="09B39EF9"/>
    <w:rsid w:val="09BB2D02"/>
    <w:rsid w:val="09BBFE72"/>
    <w:rsid w:val="09BE9EFF"/>
    <w:rsid w:val="0A061017"/>
    <w:rsid w:val="0A6B0633"/>
    <w:rsid w:val="0A6E2855"/>
    <w:rsid w:val="0A8CE1AC"/>
    <w:rsid w:val="0AA6145E"/>
    <w:rsid w:val="0AE249DF"/>
    <w:rsid w:val="0AF23676"/>
    <w:rsid w:val="0AF7A722"/>
    <w:rsid w:val="0AFF777C"/>
    <w:rsid w:val="0B02ECD5"/>
    <w:rsid w:val="0B18246A"/>
    <w:rsid w:val="0B32A003"/>
    <w:rsid w:val="0B43DA3D"/>
    <w:rsid w:val="0B8A701D"/>
    <w:rsid w:val="0B91FE50"/>
    <w:rsid w:val="0BA5A9C3"/>
    <w:rsid w:val="0BF4780F"/>
    <w:rsid w:val="0BF9F1C3"/>
    <w:rsid w:val="0C02BBBB"/>
    <w:rsid w:val="0C0C7774"/>
    <w:rsid w:val="0C0E62E0"/>
    <w:rsid w:val="0C1609FF"/>
    <w:rsid w:val="0C4DB2B5"/>
    <w:rsid w:val="0C52770B"/>
    <w:rsid w:val="0C71201E"/>
    <w:rsid w:val="0C8A0E4B"/>
    <w:rsid w:val="0CA4DB91"/>
    <w:rsid w:val="0CC35D50"/>
    <w:rsid w:val="0CD06626"/>
    <w:rsid w:val="0CD62583"/>
    <w:rsid w:val="0CDB48DC"/>
    <w:rsid w:val="0CEFEB49"/>
    <w:rsid w:val="0D2DCDBF"/>
    <w:rsid w:val="0D56A3F7"/>
    <w:rsid w:val="0D5F6428"/>
    <w:rsid w:val="0D84EA2A"/>
    <w:rsid w:val="0DB4A6DB"/>
    <w:rsid w:val="0DCAC64C"/>
    <w:rsid w:val="0DD151A1"/>
    <w:rsid w:val="0DDCAED6"/>
    <w:rsid w:val="0DED1C8B"/>
    <w:rsid w:val="0DFE23B7"/>
    <w:rsid w:val="0E0E60B7"/>
    <w:rsid w:val="0E294C3D"/>
    <w:rsid w:val="0E37DF4A"/>
    <w:rsid w:val="0E52CA22"/>
    <w:rsid w:val="0E590693"/>
    <w:rsid w:val="0E6A6364"/>
    <w:rsid w:val="0E7CF1B9"/>
    <w:rsid w:val="0E96EA81"/>
    <w:rsid w:val="0EDFD835"/>
    <w:rsid w:val="0EEC6109"/>
    <w:rsid w:val="0F348CBD"/>
    <w:rsid w:val="0F3973C9"/>
    <w:rsid w:val="0F89874D"/>
    <w:rsid w:val="0F97EDA2"/>
    <w:rsid w:val="0FA78921"/>
    <w:rsid w:val="1053182B"/>
    <w:rsid w:val="109A71E3"/>
    <w:rsid w:val="109DCB03"/>
    <w:rsid w:val="10AF283B"/>
    <w:rsid w:val="10C00037"/>
    <w:rsid w:val="10E482C4"/>
    <w:rsid w:val="10F75743"/>
    <w:rsid w:val="1106AF0E"/>
    <w:rsid w:val="110AFF81"/>
    <w:rsid w:val="111C858B"/>
    <w:rsid w:val="1164B0A8"/>
    <w:rsid w:val="117E03EC"/>
    <w:rsid w:val="11BB75FC"/>
    <w:rsid w:val="11BE3013"/>
    <w:rsid w:val="122D9EE3"/>
    <w:rsid w:val="12339A2F"/>
    <w:rsid w:val="124D282F"/>
    <w:rsid w:val="12BCD240"/>
    <w:rsid w:val="12D3D575"/>
    <w:rsid w:val="12D8DB07"/>
    <w:rsid w:val="13036666"/>
    <w:rsid w:val="1307F34F"/>
    <w:rsid w:val="1321E71B"/>
    <w:rsid w:val="13243A82"/>
    <w:rsid w:val="1333A6BB"/>
    <w:rsid w:val="133EB238"/>
    <w:rsid w:val="134BFAB2"/>
    <w:rsid w:val="1385DDF6"/>
    <w:rsid w:val="13A077EF"/>
    <w:rsid w:val="13AA1848"/>
    <w:rsid w:val="13AE81DF"/>
    <w:rsid w:val="13C73422"/>
    <w:rsid w:val="13FF12B7"/>
    <w:rsid w:val="142229E1"/>
    <w:rsid w:val="142680F6"/>
    <w:rsid w:val="142D6090"/>
    <w:rsid w:val="14426169"/>
    <w:rsid w:val="14487FA0"/>
    <w:rsid w:val="144C5539"/>
    <w:rsid w:val="145A4B6A"/>
    <w:rsid w:val="14B63417"/>
    <w:rsid w:val="14B94580"/>
    <w:rsid w:val="14CB157A"/>
    <w:rsid w:val="14D7C805"/>
    <w:rsid w:val="14DC86D2"/>
    <w:rsid w:val="152317A5"/>
    <w:rsid w:val="1528A004"/>
    <w:rsid w:val="153230A9"/>
    <w:rsid w:val="153C474B"/>
    <w:rsid w:val="154F726A"/>
    <w:rsid w:val="1552CB52"/>
    <w:rsid w:val="1595A0FA"/>
    <w:rsid w:val="15A140C2"/>
    <w:rsid w:val="15E00996"/>
    <w:rsid w:val="15EB0D73"/>
    <w:rsid w:val="160AA195"/>
    <w:rsid w:val="1610BEDD"/>
    <w:rsid w:val="1615FB82"/>
    <w:rsid w:val="1617E9A6"/>
    <w:rsid w:val="1622BB05"/>
    <w:rsid w:val="16605E2D"/>
    <w:rsid w:val="16751B84"/>
    <w:rsid w:val="16967ED4"/>
    <w:rsid w:val="16B738CF"/>
    <w:rsid w:val="16E1DD93"/>
    <w:rsid w:val="16EC627E"/>
    <w:rsid w:val="16F1A832"/>
    <w:rsid w:val="16F6FEAF"/>
    <w:rsid w:val="16F99825"/>
    <w:rsid w:val="170F0499"/>
    <w:rsid w:val="17125E0A"/>
    <w:rsid w:val="1718607A"/>
    <w:rsid w:val="1734E382"/>
    <w:rsid w:val="174D5E9E"/>
    <w:rsid w:val="17C35315"/>
    <w:rsid w:val="17C81993"/>
    <w:rsid w:val="18071D4A"/>
    <w:rsid w:val="183AEACB"/>
    <w:rsid w:val="187034A4"/>
    <w:rsid w:val="1888CA49"/>
    <w:rsid w:val="188EA130"/>
    <w:rsid w:val="18A77ADF"/>
    <w:rsid w:val="18CB3443"/>
    <w:rsid w:val="18D2C5BB"/>
    <w:rsid w:val="18EC0C58"/>
    <w:rsid w:val="195CF5E2"/>
    <w:rsid w:val="196075A7"/>
    <w:rsid w:val="196FB7C0"/>
    <w:rsid w:val="19CA941E"/>
    <w:rsid w:val="19D8773A"/>
    <w:rsid w:val="19F0C589"/>
    <w:rsid w:val="1A58D8F6"/>
    <w:rsid w:val="1A6C37CE"/>
    <w:rsid w:val="1A725A6C"/>
    <w:rsid w:val="1A874E03"/>
    <w:rsid w:val="1A8FBB98"/>
    <w:rsid w:val="1AAAB45E"/>
    <w:rsid w:val="1AC16534"/>
    <w:rsid w:val="1AD4ED4D"/>
    <w:rsid w:val="1B07625D"/>
    <w:rsid w:val="1B3F7A39"/>
    <w:rsid w:val="1B52F5C4"/>
    <w:rsid w:val="1B6B4AF7"/>
    <w:rsid w:val="1B9DD1CD"/>
    <w:rsid w:val="1BA66F04"/>
    <w:rsid w:val="1BBCF286"/>
    <w:rsid w:val="1BC136BF"/>
    <w:rsid w:val="1BCCA9B9"/>
    <w:rsid w:val="1BD20A30"/>
    <w:rsid w:val="1BE4038B"/>
    <w:rsid w:val="1C310420"/>
    <w:rsid w:val="1C3E45EA"/>
    <w:rsid w:val="1C413309"/>
    <w:rsid w:val="1C5E00CD"/>
    <w:rsid w:val="1C636853"/>
    <w:rsid w:val="1C65A66A"/>
    <w:rsid w:val="1C695898"/>
    <w:rsid w:val="1C7B97D3"/>
    <w:rsid w:val="1C7D82CC"/>
    <w:rsid w:val="1C86D574"/>
    <w:rsid w:val="1CC5E65A"/>
    <w:rsid w:val="1CCA6EC9"/>
    <w:rsid w:val="1D01A5EC"/>
    <w:rsid w:val="1D060590"/>
    <w:rsid w:val="1D0CCE15"/>
    <w:rsid w:val="1D36AE04"/>
    <w:rsid w:val="1D37FCD4"/>
    <w:rsid w:val="1D4738B5"/>
    <w:rsid w:val="1D642EE8"/>
    <w:rsid w:val="1D7EA66B"/>
    <w:rsid w:val="1D8AAFD7"/>
    <w:rsid w:val="1D8AF6F8"/>
    <w:rsid w:val="1DDDF813"/>
    <w:rsid w:val="1DE223F5"/>
    <w:rsid w:val="1DE5C6FA"/>
    <w:rsid w:val="1E2A054D"/>
    <w:rsid w:val="1E359AA1"/>
    <w:rsid w:val="1EA5EF13"/>
    <w:rsid w:val="1EB15272"/>
    <w:rsid w:val="1EB576BD"/>
    <w:rsid w:val="1EC1DC0C"/>
    <w:rsid w:val="1EECFE3F"/>
    <w:rsid w:val="1F21A1E3"/>
    <w:rsid w:val="1F394D88"/>
    <w:rsid w:val="1F7CA7D4"/>
    <w:rsid w:val="1F7F74D1"/>
    <w:rsid w:val="1F90346A"/>
    <w:rsid w:val="1F955B10"/>
    <w:rsid w:val="1FA8C265"/>
    <w:rsid w:val="1FAEFC48"/>
    <w:rsid w:val="1FD92786"/>
    <w:rsid w:val="1FF09E18"/>
    <w:rsid w:val="1FF6216E"/>
    <w:rsid w:val="2022E726"/>
    <w:rsid w:val="2039CD3C"/>
    <w:rsid w:val="204DFB9E"/>
    <w:rsid w:val="205581F5"/>
    <w:rsid w:val="20667A13"/>
    <w:rsid w:val="20679B43"/>
    <w:rsid w:val="206F5F49"/>
    <w:rsid w:val="20729CCC"/>
    <w:rsid w:val="209BBEA5"/>
    <w:rsid w:val="20A64491"/>
    <w:rsid w:val="20B8D7BB"/>
    <w:rsid w:val="20E2FFE0"/>
    <w:rsid w:val="20E77D08"/>
    <w:rsid w:val="212777B2"/>
    <w:rsid w:val="2166C55B"/>
    <w:rsid w:val="2174FACB"/>
    <w:rsid w:val="21E45406"/>
    <w:rsid w:val="222AD2DD"/>
    <w:rsid w:val="2232E0BE"/>
    <w:rsid w:val="226C3548"/>
    <w:rsid w:val="229AD799"/>
    <w:rsid w:val="230722DB"/>
    <w:rsid w:val="235A0071"/>
    <w:rsid w:val="2368E7A2"/>
    <w:rsid w:val="2373A9C0"/>
    <w:rsid w:val="238DB4E9"/>
    <w:rsid w:val="239634B8"/>
    <w:rsid w:val="23A89420"/>
    <w:rsid w:val="23D49356"/>
    <w:rsid w:val="24028EB9"/>
    <w:rsid w:val="2437A693"/>
    <w:rsid w:val="244E5E83"/>
    <w:rsid w:val="245577E6"/>
    <w:rsid w:val="246E1F04"/>
    <w:rsid w:val="246FDB8E"/>
    <w:rsid w:val="249F92C8"/>
    <w:rsid w:val="24BB4724"/>
    <w:rsid w:val="2514DA8B"/>
    <w:rsid w:val="25328C68"/>
    <w:rsid w:val="2540D923"/>
    <w:rsid w:val="254280EE"/>
    <w:rsid w:val="2570187A"/>
    <w:rsid w:val="259B2D39"/>
    <w:rsid w:val="25B2655B"/>
    <w:rsid w:val="25BD7D69"/>
    <w:rsid w:val="25BE401A"/>
    <w:rsid w:val="25C3018C"/>
    <w:rsid w:val="25C716EE"/>
    <w:rsid w:val="25CA636C"/>
    <w:rsid w:val="25FE84D9"/>
    <w:rsid w:val="26148AF1"/>
    <w:rsid w:val="262626FE"/>
    <w:rsid w:val="264057A1"/>
    <w:rsid w:val="264DDCB3"/>
    <w:rsid w:val="266EDC41"/>
    <w:rsid w:val="26950D04"/>
    <w:rsid w:val="26BC9FB3"/>
    <w:rsid w:val="26C534D9"/>
    <w:rsid w:val="26CA146B"/>
    <w:rsid w:val="26DCD407"/>
    <w:rsid w:val="26DF685A"/>
    <w:rsid w:val="26E5F524"/>
    <w:rsid w:val="26F17607"/>
    <w:rsid w:val="27325F27"/>
    <w:rsid w:val="2766C435"/>
    <w:rsid w:val="2799945E"/>
    <w:rsid w:val="279B39A2"/>
    <w:rsid w:val="27A48BB8"/>
    <w:rsid w:val="27A8711D"/>
    <w:rsid w:val="27C68B6D"/>
    <w:rsid w:val="27D95EDA"/>
    <w:rsid w:val="27D9BF66"/>
    <w:rsid w:val="27DA810A"/>
    <w:rsid w:val="27F51278"/>
    <w:rsid w:val="2821D380"/>
    <w:rsid w:val="2830F606"/>
    <w:rsid w:val="28329DDC"/>
    <w:rsid w:val="2898B111"/>
    <w:rsid w:val="28B9E577"/>
    <w:rsid w:val="28DCED7E"/>
    <w:rsid w:val="28EAB4AB"/>
    <w:rsid w:val="2941498E"/>
    <w:rsid w:val="2943C963"/>
    <w:rsid w:val="29C81918"/>
    <w:rsid w:val="2A5A27D2"/>
    <w:rsid w:val="2A6F7A98"/>
    <w:rsid w:val="2A8D4537"/>
    <w:rsid w:val="2A9045CB"/>
    <w:rsid w:val="2A9E3C5A"/>
    <w:rsid w:val="2AA09EF0"/>
    <w:rsid w:val="2AA8546A"/>
    <w:rsid w:val="2ACE8D1D"/>
    <w:rsid w:val="2ACF2AD1"/>
    <w:rsid w:val="2ADBF73B"/>
    <w:rsid w:val="2AED5A94"/>
    <w:rsid w:val="2AF85380"/>
    <w:rsid w:val="2B0A95C1"/>
    <w:rsid w:val="2B12743D"/>
    <w:rsid w:val="2B42637B"/>
    <w:rsid w:val="2B8D55B1"/>
    <w:rsid w:val="2BB34BFF"/>
    <w:rsid w:val="2BF00579"/>
    <w:rsid w:val="2C016664"/>
    <w:rsid w:val="2C18FEC9"/>
    <w:rsid w:val="2C1EBD2A"/>
    <w:rsid w:val="2C32E30D"/>
    <w:rsid w:val="2C7BACA7"/>
    <w:rsid w:val="2CEF5DA6"/>
    <w:rsid w:val="2CEFEA7D"/>
    <w:rsid w:val="2D1E8DA6"/>
    <w:rsid w:val="2D201F85"/>
    <w:rsid w:val="2D621149"/>
    <w:rsid w:val="2D692481"/>
    <w:rsid w:val="2D7E94C0"/>
    <w:rsid w:val="2D81E670"/>
    <w:rsid w:val="2DC85A6F"/>
    <w:rsid w:val="2E1EB216"/>
    <w:rsid w:val="2E4FADBA"/>
    <w:rsid w:val="2E8C0A9F"/>
    <w:rsid w:val="2EBB1AC1"/>
    <w:rsid w:val="2ECC23C5"/>
    <w:rsid w:val="2F3F709A"/>
    <w:rsid w:val="2F52A7D7"/>
    <w:rsid w:val="2F905D5D"/>
    <w:rsid w:val="2F917849"/>
    <w:rsid w:val="2FA630F5"/>
    <w:rsid w:val="2FA676B3"/>
    <w:rsid w:val="2FA775EE"/>
    <w:rsid w:val="2FB55432"/>
    <w:rsid w:val="2FD80E04"/>
    <w:rsid w:val="2FE71A5A"/>
    <w:rsid w:val="2FF4802B"/>
    <w:rsid w:val="300ED5EA"/>
    <w:rsid w:val="300FFCE9"/>
    <w:rsid w:val="303AE3AE"/>
    <w:rsid w:val="304B9A85"/>
    <w:rsid w:val="304BD5D3"/>
    <w:rsid w:val="307442B8"/>
    <w:rsid w:val="30746255"/>
    <w:rsid w:val="308AA637"/>
    <w:rsid w:val="30B3D3CC"/>
    <w:rsid w:val="30CB4D8E"/>
    <w:rsid w:val="30D8F3B2"/>
    <w:rsid w:val="310F79B8"/>
    <w:rsid w:val="31251265"/>
    <w:rsid w:val="312CD3FC"/>
    <w:rsid w:val="3156CA57"/>
    <w:rsid w:val="315D13D4"/>
    <w:rsid w:val="31CCD9D9"/>
    <w:rsid w:val="31E9CCA6"/>
    <w:rsid w:val="322A9494"/>
    <w:rsid w:val="323415D1"/>
    <w:rsid w:val="32561152"/>
    <w:rsid w:val="3274EEE0"/>
    <w:rsid w:val="328CA871"/>
    <w:rsid w:val="32918370"/>
    <w:rsid w:val="32F2E12B"/>
    <w:rsid w:val="32F8CF77"/>
    <w:rsid w:val="3311850D"/>
    <w:rsid w:val="3375E559"/>
    <w:rsid w:val="3395628C"/>
    <w:rsid w:val="33967D90"/>
    <w:rsid w:val="339BC33E"/>
    <w:rsid w:val="33A1379F"/>
    <w:rsid w:val="340BE160"/>
    <w:rsid w:val="340F88EB"/>
    <w:rsid w:val="34188BFF"/>
    <w:rsid w:val="3447B671"/>
    <w:rsid w:val="3461C693"/>
    <w:rsid w:val="34799D61"/>
    <w:rsid w:val="347F8EEA"/>
    <w:rsid w:val="3497EE95"/>
    <w:rsid w:val="34AA801C"/>
    <w:rsid w:val="34DBDA76"/>
    <w:rsid w:val="353950DD"/>
    <w:rsid w:val="354452A5"/>
    <w:rsid w:val="35543D3E"/>
    <w:rsid w:val="356CA766"/>
    <w:rsid w:val="357D5D9F"/>
    <w:rsid w:val="35EF0CAA"/>
    <w:rsid w:val="35FE6231"/>
    <w:rsid w:val="36111684"/>
    <w:rsid w:val="3615D5C0"/>
    <w:rsid w:val="361CB614"/>
    <w:rsid w:val="362121ED"/>
    <w:rsid w:val="36232B11"/>
    <w:rsid w:val="364E7845"/>
    <w:rsid w:val="36985D82"/>
    <w:rsid w:val="36B0FA25"/>
    <w:rsid w:val="36C7205F"/>
    <w:rsid w:val="36E1701F"/>
    <w:rsid w:val="371CE8E7"/>
    <w:rsid w:val="372206B8"/>
    <w:rsid w:val="37C48B10"/>
    <w:rsid w:val="37C69A62"/>
    <w:rsid w:val="37D48B47"/>
    <w:rsid w:val="37E701CA"/>
    <w:rsid w:val="37ED8414"/>
    <w:rsid w:val="37FFB4ED"/>
    <w:rsid w:val="38229B01"/>
    <w:rsid w:val="384D7D98"/>
    <w:rsid w:val="38D429F0"/>
    <w:rsid w:val="38E8012B"/>
    <w:rsid w:val="3902D857"/>
    <w:rsid w:val="3903CB93"/>
    <w:rsid w:val="392EB5F6"/>
    <w:rsid w:val="396D2725"/>
    <w:rsid w:val="397AD9C4"/>
    <w:rsid w:val="398C735F"/>
    <w:rsid w:val="398CCC4C"/>
    <w:rsid w:val="39A02717"/>
    <w:rsid w:val="39C27492"/>
    <w:rsid w:val="39F6B19F"/>
    <w:rsid w:val="3A0242C1"/>
    <w:rsid w:val="3A599093"/>
    <w:rsid w:val="3A7C448D"/>
    <w:rsid w:val="3A945A35"/>
    <w:rsid w:val="3A952166"/>
    <w:rsid w:val="3ABF324E"/>
    <w:rsid w:val="3AD4395E"/>
    <w:rsid w:val="3B1D323B"/>
    <w:rsid w:val="3B3FF24C"/>
    <w:rsid w:val="3B562F33"/>
    <w:rsid w:val="3B72ED6A"/>
    <w:rsid w:val="3B7F5512"/>
    <w:rsid w:val="3B8982BC"/>
    <w:rsid w:val="3B93C2E0"/>
    <w:rsid w:val="3BA4906E"/>
    <w:rsid w:val="3BA6C33D"/>
    <w:rsid w:val="3BA822D1"/>
    <w:rsid w:val="3BAE24CE"/>
    <w:rsid w:val="3BBFC9FC"/>
    <w:rsid w:val="3BCB6223"/>
    <w:rsid w:val="3BD65174"/>
    <w:rsid w:val="3BF37BFD"/>
    <w:rsid w:val="3C039204"/>
    <w:rsid w:val="3C140246"/>
    <w:rsid w:val="3C3CD221"/>
    <w:rsid w:val="3C454AE4"/>
    <w:rsid w:val="3C580D25"/>
    <w:rsid w:val="3C62440D"/>
    <w:rsid w:val="3CB3C48E"/>
    <w:rsid w:val="3D03BF04"/>
    <w:rsid w:val="3D6A3100"/>
    <w:rsid w:val="3D6C1ACB"/>
    <w:rsid w:val="3D6CBEAA"/>
    <w:rsid w:val="3DA2987A"/>
    <w:rsid w:val="3DA4454F"/>
    <w:rsid w:val="3E173A0C"/>
    <w:rsid w:val="3E24ED6C"/>
    <w:rsid w:val="3E2624B8"/>
    <w:rsid w:val="3E7A60C8"/>
    <w:rsid w:val="3EBB91D6"/>
    <w:rsid w:val="3ECB836C"/>
    <w:rsid w:val="3EDAD38E"/>
    <w:rsid w:val="3EE8F416"/>
    <w:rsid w:val="3EFBFFF7"/>
    <w:rsid w:val="3EFFB49D"/>
    <w:rsid w:val="3F48F110"/>
    <w:rsid w:val="3F4F1F35"/>
    <w:rsid w:val="3F55DF14"/>
    <w:rsid w:val="3F56E222"/>
    <w:rsid w:val="3FA3C77F"/>
    <w:rsid w:val="40128D25"/>
    <w:rsid w:val="4053A3B5"/>
    <w:rsid w:val="40846274"/>
    <w:rsid w:val="408711E6"/>
    <w:rsid w:val="408B0E22"/>
    <w:rsid w:val="413F02F0"/>
    <w:rsid w:val="414B4DE8"/>
    <w:rsid w:val="416BFF6E"/>
    <w:rsid w:val="416F490E"/>
    <w:rsid w:val="417D5321"/>
    <w:rsid w:val="41A2A972"/>
    <w:rsid w:val="41D9055C"/>
    <w:rsid w:val="41FB4359"/>
    <w:rsid w:val="4209998E"/>
    <w:rsid w:val="420A9809"/>
    <w:rsid w:val="422BF64D"/>
    <w:rsid w:val="425D19BC"/>
    <w:rsid w:val="4268BAEA"/>
    <w:rsid w:val="4283FC5A"/>
    <w:rsid w:val="4288047D"/>
    <w:rsid w:val="42897073"/>
    <w:rsid w:val="42B98139"/>
    <w:rsid w:val="42BEB5FC"/>
    <w:rsid w:val="42E0EE9C"/>
    <w:rsid w:val="42F4D73A"/>
    <w:rsid w:val="4311C069"/>
    <w:rsid w:val="4323F689"/>
    <w:rsid w:val="43245A7B"/>
    <w:rsid w:val="4333AC16"/>
    <w:rsid w:val="4340E490"/>
    <w:rsid w:val="434484D1"/>
    <w:rsid w:val="435B5C99"/>
    <w:rsid w:val="436B3568"/>
    <w:rsid w:val="43A38E8F"/>
    <w:rsid w:val="43BA2814"/>
    <w:rsid w:val="43C5A140"/>
    <w:rsid w:val="43D25F75"/>
    <w:rsid w:val="43E1B1FA"/>
    <w:rsid w:val="44156227"/>
    <w:rsid w:val="442DD098"/>
    <w:rsid w:val="44306958"/>
    <w:rsid w:val="44475B1E"/>
    <w:rsid w:val="4449A023"/>
    <w:rsid w:val="446E744D"/>
    <w:rsid w:val="44B21C5D"/>
    <w:rsid w:val="44D33153"/>
    <w:rsid w:val="4531FD6A"/>
    <w:rsid w:val="4542C99C"/>
    <w:rsid w:val="45469F2B"/>
    <w:rsid w:val="4566D603"/>
    <w:rsid w:val="45868C52"/>
    <w:rsid w:val="458F20B6"/>
    <w:rsid w:val="45C3B58D"/>
    <w:rsid w:val="45C3C142"/>
    <w:rsid w:val="45CF0C8A"/>
    <w:rsid w:val="4602FDF0"/>
    <w:rsid w:val="461D51A2"/>
    <w:rsid w:val="46267282"/>
    <w:rsid w:val="4631D70A"/>
    <w:rsid w:val="463D3100"/>
    <w:rsid w:val="466BA435"/>
    <w:rsid w:val="467853E8"/>
    <w:rsid w:val="46E8CA2E"/>
    <w:rsid w:val="470DDFC9"/>
    <w:rsid w:val="47793CF4"/>
    <w:rsid w:val="478AB72F"/>
    <w:rsid w:val="479FB60C"/>
    <w:rsid w:val="47B05BC4"/>
    <w:rsid w:val="47F3E9B4"/>
    <w:rsid w:val="481716C5"/>
    <w:rsid w:val="481D7CB5"/>
    <w:rsid w:val="482F9715"/>
    <w:rsid w:val="486E8E78"/>
    <w:rsid w:val="488C11EB"/>
    <w:rsid w:val="48DE0E43"/>
    <w:rsid w:val="49020F04"/>
    <w:rsid w:val="49409C09"/>
    <w:rsid w:val="4947EA0E"/>
    <w:rsid w:val="4951CCD8"/>
    <w:rsid w:val="496672B9"/>
    <w:rsid w:val="498BB629"/>
    <w:rsid w:val="499F296B"/>
    <w:rsid w:val="49B97274"/>
    <w:rsid w:val="49CC76A7"/>
    <w:rsid w:val="4A0387D4"/>
    <w:rsid w:val="4A26B4D8"/>
    <w:rsid w:val="4A3111FC"/>
    <w:rsid w:val="4A43F110"/>
    <w:rsid w:val="4A523DC8"/>
    <w:rsid w:val="4A5D3CBA"/>
    <w:rsid w:val="4A6EDBC0"/>
    <w:rsid w:val="4A8941BE"/>
    <w:rsid w:val="4AACC63F"/>
    <w:rsid w:val="4AAD7D93"/>
    <w:rsid w:val="4AC6DEDC"/>
    <w:rsid w:val="4AC805F4"/>
    <w:rsid w:val="4B51B929"/>
    <w:rsid w:val="4B95A5AE"/>
    <w:rsid w:val="4BA96716"/>
    <w:rsid w:val="4BBB26BE"/>
    <w:rsid w:val="4BBBEC2E"/>
    <w:rsid w:val="4BD65565"/>
    <w:rsid w:val="4BD75E43"/>
    <w:rsid w:val="4BDB5149"/>
    <w:rsid w:val="4BE15E48"/>
    <w:rsid w:val="4BE4A805"/>
    <w:rsid w:val="4BF30A9B"/>
    <w:rsid w:val="4BF64BD3"/>
    <w:rsid w:val="4C0C755B"/>
    <w:rsid w:val="4C1A3292"/>
    <w:rsid w:val="4C66D12E"/>
    <w:rsid w:val="4CA10A4C"/>
    <w:rsid w:val="4CB1103B"/>
    <w:rsid w:val="4CBC653C"/>
    <w:rsid w:val="4D43059B"/>
    <w:rsid w:val="4D49A571"/>
    <w:rsid w:val="4DB66ADA"/>
    <w:rsid w:val="4DCEC9D4"/>
    <w:rsid w:val="4DD88F89"/>
    <w:rsid w:val="4E251838"/>
    <w:rsid w:val="4E26D328"/>
    <w:rsid w:val="4E851456"/>
    <w:rsid w:val="4E8D16E0"/>
    <w:rsid w:val="4E939A72"/>
    <w:rsid w:val="4EB4B5DF"/>
    <w:rsid w:val="4EF8BE8F"/>
    <w:rsid w:val="4EFAB4FA"/>
    <w:rsid w:val="4F1FEEAF"/>
    <w:rsid w:val="4F4551E9"/>
    <w:rsid w:val="4F7591C3"/>
    <w:rsid w:val="4F7B3B96"/>
    <w:rsid w:val="4FA61F08"/>
    <w:rsid w:val="4FAE3BC5"/>
    <w:rsid w:val="4FC0E86F"/>
    <w:rsid w:val="4FC50C17"/>
    <w:rsid w:val="4FCFDDD5"/>
    <w:rsid w:val="4FD8082A"/>
    <w:rsid w:val="4FDC5FAE"/>
    <w:rsid w:val="4FF73B12"/>
    <w:rsid w:val="5012E6E9"/>
    <w:rsid w:val="5028481F"/>
    <w:rsid w:val="503BF6F4"/>
    <w:rsid w:val="5052E83B"/>
    <w:rsid w:val="507210F8"/>
    <w:rsid w:val="508BB8C9"/>
    <w:rsid w:val="508CDF9D"/>
    <w:rsid w:val="50931375"/>
    <w:rsid w:val="50D895F7"/>
    <w:rsid w:val="50E3E469"/>
    <w:rsid w:val="510CC5C2"/>
    <w:rsid w:val="51126F9D"/>
    <w:rsid w:val="5127F96D"/>
    <w:rsid w:val="5143D9BE"/>
    <w:rsid w:val="516A471B"/>
    <w:rsid w:val="51D7BA53"/>
    <w:rsid w:val="51E2A16C"/>
    <w:rsid w:val="52132583"/>
    <w:rsid w:val="5227EA97"/>
    <w:rsid w:val="5242F657"/>
    <w:rsid w:val="5286434A"/>
    <w:rsid w:val="529D8E3F"/>
    <w:rsid w:val="52E0DB0F"/>
    <w:rsid w:val="52F58316"/>
    <w:rsid w:val="53037681"/>
    <w:rsid w:val="535C230C"/>
    <w:rsid w:val="536637C3"/>
    <w:rsid w:val="537C6E22"/>
    <w:rsid w:val="53806005"/>
    <w:rsid w:val="53996134"/>
    <w:rsid w:val="53CF0386"/>
    <w:rsid w:val="53F19931"/>
    <w:rsid w:val="541160DB"/>
    <w:rsid w:val="544DAF32"/>
    <w:rsid w:val="545AF885"/>
    <w:rsid w:val="546DFF8D"/>
    <w:rsid w:val="54B40053"/>
    <w:rsid w:val="551DDF60"/>
    <w:rsid w:val="5532854E"/>
    <w:rsid w:val="55870329"/>
    <w:rsid w:val="55897064"/>
    <w:rsid w:val="559AB0FE"/>
    <w:rsid w:val="55A293BE"/>
    <w:rsid w:val="55C5AE01"/>
    <w:rsid w:val="561FED5B"/>
    <w:rsid w:val="5641E229"/>
    <w:rsid w:val="565AE265"/>
    <w:rsid w:val="565FDEAB"/>
    <w:rsid w:val="568C0AA6"/>
    <w:rsid w:val="56C3076E"/>
    <w:rsid w:val="56DE07F3"/>
    <w:rsid w:val="56DEBE71"/>
    <w:rsid w:val="570D4E55"/>
    <w:rsid w:val="572DACFE"/>
    <w:rsid w:val="5763C60B"/>
    <w:rsid w:val="578A0552"/>
    <w:rsid w:val="578DFB02"/>
    <w:rsid w:val="579CA97D"/>
    <w:rsid w:val="57C3B8DC"/>
    <w:rsid w:val="57C8172E"/>
    <w:rsid w:val="5800BE24"/>
    <w:rsid w:val="583C8823"/>
    <w:rsid w:val="585BD540"/>
    <w:rsid w:val="586AA517"/>
    <w:rsid w:val="58AF482D"/>
    <w:rsid w:val="58C7D0A4"/>
    <w:rsid w:val="58E78E69"/>
    <w:rsid w:val="58ED3683"/>
    <w:rsid w:val="58FC0A31"/>
    <w:rsid w:val="591BD990"/>
    <w:rsid w:val="591E321E"/>
    <w:rsid w:val="59225FD8"/>
    <w:rsid w:val="5972F8FA"/>
    <w:rsid w:val="599776B8"/>
    <w:rsid w:val="59E6A8C4"/>
    <w:rsid w:val="59EEB714"/>
    <w:rsid w:val="59EF9D07"/>
    <w:rsid w:val="5A22FAF6"/>
    <w:rsid w:val="5A26C81B"/>
    <w:rsid w:val="5A4DB92B"/>
    <w:rsid w:val="5A5142A0"/>
    <w:rsid w:val="5A569F44"/>
    <w:rsid w:val="5A5F584E"/>
    <w:rsid w:val="5A99D51C"/>
    <w:rsid w:val="5A9F5637"/>
    <w:rsid w:val="5AA08886"/>
    <w:rsid w:val="5AA54533"/>
    <w:rsid w:val="5AAC0A10"/>
    <w:rsid w:val="5AE071CF"/>
    <w:rsid w:val="5AE1C925"/>
    <w:rsid w:val="5AFB4AF9"/>
    <w:rsid w:val="5B24F57A"/>
    <w:rsid w:val="5B384171"/>
    <w:rsid w:val="5B43483F"/>
    <w:rsid w:val="5B45941B"/>
    <w:rsid w:val="5B705D25"/>
    <w:rsid w:val="5BA8DC1B"/>
    <w:rsid w:val="5BEAB526"/>
    <w:rsid w:val="5C04B68D"/>
    <w:rsid w:val="5C101433"/>
    <w:rsid w:val="5C348304"/>
    <w:rsid w:val="5CC232A7"/>
    <w:rsid w:val="5CF71D2D"/>
    <w:rsid w:val="5D40DA58"/>
    <w:rsid w:val="5D66DE69"/>
    <w:rsid w:val="5D7DA65A"/>
    <w:rsid w:val="5DBC8F48"/>
    <w:rsid w:val="5DC7E07A"/>
    <w:rsid w:val="5E1CC71B"/>
    <w:rsid w:val="5E4A771A"/>
    <w:rsid w:val="5EBAD969"/>
    <w:rsid w:val="5ECE4843"/>
    <w:rsid w:val="5EF8A16B"/>
    <w:rsid w:val="5F77E2AB"/>
    <w:rsid w:val="5F8010E7"/>
    <w:rsid w:val="5F9021E3"/>
    <w:rsid w:val="5FAEBCD4"/>
    <w:rsid w:val="5FBB400E"/>
    <w:rsid w:val="6041792E"/>
    <w:rsid w:val="60516461"/>
    <w:rsid w:val="60571A0A"/>
    <w:rsid w:val="6061CCA4"/>
    <w:rsid w:val="6083A402"/>
    <w:rsid w:val="609E2B32"/>
    <w:rsid w:val="60AEBA1F"/>
    <w:rsid w:val="60DD8A18"/>
    <w:rsid w:val="61245A37"/>
    <w:rsid w:val="613C4A7B"/>
    <w:rsid w:val="614EE95F"/>
    <w:rsid w:val="61626EB9"/>
    <w:rsid w:val="616D2968"/>
    <w:rsid w:val="616DD655"/>
    <w:rsid w:val="6170EF2F"/>
    <w:rsid w:val="617E17B2"/>
    <w:rsid w:val="61917AE8"/>
    <w:rsid w:val="61A57E19"/>
    <w:rsid w:val="61B8A233"/>
    <w:rsid w:val="61B9DD6D"/>
    <w:rsid w:val="61F40EC2"/>
    <w:rsid w:val="6205D0E1"/>
    <w:rsid w:val="62287556"/>
    <w:rsid w:val="62534C72"/>
    <w:rsid w:val="626C8B67"/>
    <w:rsid w:val="629CD624"/>
    <w:rsid w:val="62AAE49E"/>
    <w:rsid w:val="62C8A49E"/>
    <w:rsid w:val="62D74137"/>
    <w:rsid w:val="62FA04EC"/>
    <w:rsid w:val="63021C3D"/>
    <w:rsid w:val="63373726"/>
    <w:rsid w:val="6357B070"/>
    <w:rsid w:val="63746494"/>
    <w:rsid w:val="637554E4"/>
    <w:rsid w:val="638257BD"/>
    <w:rsid w:val="639C3B9A"/>
    <w:rsid w:val="644B5232"/>
    <w:rsid w:val="6485DD4B"/>
    <w:rsid w:val="649C2B54"/>
    <w:rsid w:val="64BE5ED4"/>
    <w:rsid w:val="64BF48DF"/>
    <w:rsid w:val="64EEAB81"/>
    <w:rsid w:val="64F2E295"/>
    <w:rsid w:val="6501CE15"/>
    <w:rsid w:val="650CDE38"/>
    <w:rsid w:val="651CD78B"/>
    <w:rsid w:val="65431B43"/>
    <w:rsid w:val="65778997"/>
    <w:rsid w:val="65A2A930"/>
    <w:rsid w:val="65BC1A4C"/>
    <w:rsid w:val="65BEC3B6"/>
    <w:rsid w:val="65C4AB99"/>
    <w:rsid w:val="65C5B2A3"/>
    <w:rsid w:val="65D286BC"/>
    <w:rsid w:val="6600DE10"/>
    <w:rsid w:val="6634C9A0"/>
    <w:rsid w:val="66379677"/>
    <w:rsid w:val="6665A9E9"/>
    <w:rsid w:val="6672F5C4"/>
    <w:rsid w:val="6678D7E4"/>
    <w:rsid w:val="668D7EFC"/>
    <w:rsid w:val="66972FA9"/>
    <w:rsid w:val="66CA09BF"/>
    <w:rsid w:val="673F7CB7"/>
    <w:rsid w:val="674DC406"/>
    <w:rsid w:val="675719A3"/>
    <w:rsid w:val="6766CE18"/>
    <w:rsid w:val="676F55A1"/>
    <w:rsid w:val="679132C8"/>
    <w:rsid w:val="67A87F23"/>
    <w:rsid w:val="67BC0491"/>
    <w:rsid w:val="67D45C60"/>
    <w:rsid w:val="67D75701"/>
    <w:rsid w:val="67FB74D1"/>
    <w:rsid w:val="681B8C40"/>
    <w:rsid w:val="6841E9C7"/>
    <w:rsid w:val="686A73C5"/>
    <w:rsid w:val="6875ECE5"/>
    <w:rsid w:val="687A79B4"/>
    <w:rsid w:val="687C628F"/>
    <w:rsid w:val="688D7454"/>
    <w:rsid w:val="68D252F7"/>
    <w:rsid w:val="68E5104D"/>
    <w:rsid w:val="68EB276C"/>
    <w:rsid w:val="68F0ECE0"/>
    <w:rsid w:val="69318625"/>
    <w:rsid w:val="69504E48"/>
    <w:rsid w:val="695B23A3"/>
    <w:rsid w:val="696B4A55"/>
    <w:rsid w:val="696F0C75"/>
    <w:rsid w:val="69713008"/>
    <w:rsid w:val="697BE2FE"/>
    <w:rsid w:val="6997C010"/>
    <w:rsid w:val="69B47AAC"/>
    <w:rsid w:val="69F01350"/>
    <w:rsid w:val="69F3EA8D"/>
    <w:rsid w:val="6A0AA0E3"/>
    <w:rsid w:val="6A104705"/>
    <w:rsid w:val="6A137B11"/>
    <w:rsid w:val="6A204EB1"/>
    <w:rsid w:val="6A3E1A44"/>
    <w:rsid w:val="6A48DC13"/>
    <w:rsid w:val="6A6223BF"/>
    <w:rsid w:val="6A68C27F"/>
    <w:rsid w:val="6A7D47BB"/>
    <w:rsid w:val="6AA04774"/>
    <w:rsid w:val="6AAAB5C7"/>
    <w:rsid w:val="6AB6200A"/>
    <w:rsid w:val="6AB6976C"/>
    <w:rsid w:val="6AB79EE4"/>
    <w:rsid w:val="6ACEB136"/>
    <w:rsid w:val="6AD0082D"/>
    <w:rsid w:val="6B04E417"/>
    <w:rsid w:val="6B393CC4"/>
    <w:rsid w:val="6B3EE73A"/>
    <w:rsid w:val="6B94EF8C"/>
    <w:rsid w:val="6B9F67A5"/>
    <w:rsid w:val="6BBA81C4"/>
    <w:rsid w:val="6BBF96A9"/>
    <w:rsid w:val="6BD25B40"/>
    <w:rsid w:val="6BD4257F"/>
    <w:rsid w:val="6BE131A4"/>
    <w:rsid w:val="6BEA19D8"/>
    <w:rsid w:val="6BED7A34"/>
    <w:rsid w:val="6BFE50D4"/>
    <w:rsid w:val="6C3F82DA"/>
    <w:rsid w:val="6C5920BC"/>
    <w:rsid w:val="6C6E628B"/>
    <w:rsid w:val="6C77358B"/>
    <w:rsid w:val="6C89725D"/>
    <w:rsid w:val="6CB95C22"/>
    <w:rsid w:val="6CC5FD99"/>
    <w:rsid w:val="6CCDAE19"/>
    <w:rsid w:val="6D02C4D6"/>
    <w:rsid w:val="6D335008"/>
    <w:rsid w:val="6D64DD4A"/>
    <w:rsid w:val="6DE36F4C"/>
    <w:rsid w:val="6DF59465"/>
    <w:rsid w:val="6E2B36A8"/>
    <w:rsid w:val="6E43647B"/>
    <w:rsid w:val="6E56C83F"/>
    <w:rsid w:val="6E6FDB03"/>
    <w:rsid w:val="6EBB2C06"/>
    <w:rsid w:val="6EBD47D0"/>
    <w:rsid w:val="6EBF3406"/>
    <w:rsid w:val="6ED44590"/>
    <w:rsid w:val="6EE4EA22"/>
    <w:rsid w:val="6EF02DD5"/>
    <w:rsid w:val="6F1EEA70"/>
    <w:rsid w:val="6F2DA4B5"/>
    <w:rsid w:val="6F2EF1DD"/>
    <w:rsid w:val="6F36EFF4"/>
    <w:rsid w:val="6F44A2D1"/>
    <w:rsid w:val="6F665430"/>
    <w:rsid w:val="6FB0268A"/>
    <w:rsid w:val="6FB280F2"/>
    <w:rsid w:val="6FF08D1E"/>
    <w:rsid w:val="6FFB6248"/>
    <w:rsid w:val="700395A8"/>
    <w:rsid w:val="70344F2E"/>
    <w:rsid w:val="70545F20"/>
    <w:rsid w:val="705B0DC8"/>
    <w:rsid w:val="706F0EA8"/>
    <w:rsid w:val="707397CA"/>
    <w:rsid w:val="70DED55C"/>
    <w:rsid w:val="70F4703B"/>
    <w:rsid w:val="7100B0E7"/>
    <w:rsid w:val="7130C6EB"/>
    <w:rsid w:val="71554D22"/>
    <w:rsid w:val="71858B21"/>
    <w:rsid w:val="718C9D11"/>
    <w:rsid w:val="71BDF620"/>
    <w:rsid w:val="71DF40DC"/>
    <w:rsid w:val="71E35B42"/>
    <w:rsid w:val="71E36839"/>
    <w:rsid w:val="71FB9683"/>
    <w:rsid w:val="72207444"/>
    <w:rsid w:val="72212213"/>
    <w:rsid w:val="727D8D69"/>
    <w:rsid w:val="72B3E53A"/>
    <w:rsid w:val="72C7CA3C"/>
    <w:rsid w:val="72E3F7A9"/>
    <w:rsid w:val="72EAFAA9"/>
    <w:rsid w:val="73054AA6"/>
    <w:rsid w:val="730791D5"/>
    <w:rsid w:val="736C55BD"/>
    <w:rsid w:val="738807E7"/>
    <w:rsid w:val="73A42D8D"/>
    <w:rsid w:val="73B80ED7"/>
    <w:rsid w:val="73F52866"/>
    <w:rsid w:val="73FB57AB"/>
    <w:rsid w:val="740BBE96"/>
    <w:rsid w:val="7446700F"/>
    <w:rsid w:val="744D8957"/>
    <w:rsid w:val="744E23CD"/>
    <w:rsid w:val="744FA116"/>
    <w:rsid w:val="749FAF96"/>
    <w:rsid w:val="74B9E651"/>
    <w:rsid w:val="74FE7166"/>
    <w:rsid w:val="750AD139"/>
    <w:rsid w:val="752A0EEB"/>
    <w:rsid w:val="7545CC31"/>
    <w:rsid w:val="75827B41"/>
    <w:rsid w:val="75F16475"/>
    <w:rsid w:val="75F81079"/>
    <w:rsid w:val="7606BEDC"/>
    <w:rsid w:val="76135C92"/>
    <w:rsid w:val="76241AE6"/>
    <w:rsid w:val="762BDFC4"/>
    <w:rsid w:val="764FC4A4"/>
    <w:rsid w:val="765000BD"/>
    <w:rsid w:val="767DDB5D"/>
    <w:rsid w:val="768F74CB"/>
    <w:rsid w:val="7691DADA"/>
    <w:rsid w:val="76E7B126"/>
    <w:rsid w:val="7745C865"/>
    <w:rsid w:val="776F056D"/>
    <w:rsid w:val="77D71DDA"/>
    <w:rsid w:val="77E02DF5"/>
    <w:rsid w:val="77F162C8"/>
    <w:rsid w:val="7813AABE"/>
    <w:rsid w:val="7815DE84"/>
    <w:rsid w:val="784051B8"/>
    <w:rsid w:val="785E6BB5"/>
    <w:rsid w:val="7891F25D"/>
    <w:rsid w:val="78C4E882"/>
    <w:rsid w:val="78DC99D8"/>
    <w:rsid w:val="7915AFA4"/>
    <w:rsid w:val="79302DA7"/>
    <w:rsid w:val="794EDB16"/>
    <w:rsid w:val="799320F4"/>
    <w:rsid w:val="79C462CB"/>
    <w:rsid w:val="79D08503"/>
    <w:rsid w:val="7A02F3B5"/>
    <w:rsid w:val="7A0312C2"/>
    <w:rsid w:val="7A3F76FC"/>
    <w:rsid w:val="7A42F317"/>
    <w:rsid w:val="7A4F9C61"/>
    <w:rsid w:val="7A5191AC"/>
    <w:rsid w:val="7A5820D9"/>
    <w:rsid w:val="7A794632"/>
    <w:rsid w:val="7A9506D8"/>
    <w:rsid w:val="7AA3C32A"/>
    <w:rsid w:val="7AA8CE97"/>
    <w:rsid w:val="7ACC4AE3"/>
    <w:rsid w:val="7AD91A73"/>
    <w:rsid w:val="7AED3E13"/>
    <w:rsid w:val="7AF2B014"/>
    <w:rsid w:val="7B0163E9"/>
    <w:rsid w:val="7B0D2AFB"/>
    <w:rsid w:val="7B21EB34"/>
    <w:rsid w:val="7B3815FA"/>
    <w:rsid w:val="7B387BF1"/>
    <w:rsid w:val="7B40549A"/>
    <w:rsid w:val="7B426194"/>
    <w:rsid w:val="7B66049C"/>
    <w:rsid w:val="7B673BEB"/>
    <w:rsid w:val="7B93C495"/>
    <w:rsid w:val="7B9459C2"/>
    <w:rsid w:val="7BAFFA34"/>
    <w:rsid w:val="7BED2CF0"/>
    <w:rsid w:val="7C12EDED"/>
    <w:rsid w:val="7C21D0B4"/>
    <w:rsid w:val="7C2BE410"/>
    <w:rsid w:val="7C39F494"/>
    <w:rsid w:val="7C3BD61F"/>
    <w:rsid w:val="7C3FEE59"/>
    <w:rsid w:val="7C618FF9"/>
    <w:rsid w:val="7C66C63C"/>
    <w:rsid w:val="7C76EF9D"/>
    <w:rsid w:val="7C846050"/>
    <w:rsid w:val="7C9E44E3"/>
    <w:rsid w:val="7CC5A8CE"/>
    <w:rsid w:val="7CC70433"/>
    <w:rsid w:val="7CE22CAA"/>
    <w:rsid w:val="7CEEB94D"/>
    <w:rsid w:val="7D0E41BA"/>
    <w:rsid w:val="7D0F35C5"/>
    <w:rsid w:val="7D19B3C0"/>
    <w:rsid w:val="7D1C666D"/>
    <w:rsid w:val="7D9BAF83"/>
    <w:rsid w:val="7DB6F645"/>
    <w:rsid w:val="7DBA3766"/>
    <w:rsid w:val="7DFD12D5"/>
    <w:rsid w:val="7E83888A"/>
    <w:rsid w:val="7EABA348"/>
    <w:rsid w:val="7ECE279D"/>
    <w:rsid w:val="7ED690E5"/>
    <w:rsid w:val="7EFC6683"/>
    <w:rsid w:val="7EFE1367"/>
    <w:rsid w:val="7F2DDAAF"/>
    <w:rsid w:val="7F42444C"/>
    <w:rsid w:val="7F4DA041"/>
    <w:rsid w:val="7F591F21"/>
    <w:rsid w:val="7F8351C2"/>
    <w:rsid w:val="7FADF2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D16C"/>
  <w15:chartTrackingRefBased/>
  <w15:docId w15:val="{AB105C55-ACD2-43FF-A4DC-8B5E1278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87"/>
    <w:pPr>
      <w:spacing w:after="120" w:line="360" w:lineRule="auto"/>
    </w:pPr>
    <w:rPr>
      <w:rFonts w:ascii="Arial" w:eastAsia="Arial" w:hAnsi="Arial" w:cs="Arial"/>
      <w:sz w:val="24"/>
      <w:szCs w:val="24"/>
    </w:rPr>
  </w:style>
  <w:style w:type="paragraph" w:styleId="Heading1">
    <w:name w:val="heading 1"/>
    <w:basedOn w:val="Normal"/>
    <w:next w:val="Normal"/>
    <w:link w:val="Heading1Char"/>
    <w:uiPriority w:val="9"/>
    <w:qFormat/>
    <w:rsid w:val="005A434C"/>
    <w:pPr>
      <w:keepNext/>
      <w:keepLines/>
      <w:spacing w:before="360" w:after="360"/>
      <w:outlineLvl w:val="0"/>
    </w:pPr>
    <w:rPr>
      <w:rFonts w:eastAsiaTheme="majorEastAsia"/>
      <w:color w:val="3B6E8F"/>
      <w:sz w:val="56"/>
      <w:szCs w:val="56"/>
    </w:rPr>
  </w:style>
  <w:style w:type="paragraph" w:styleId="Heading2">
    <w:name w:val="heading 2"/>
    <w:basedOn w:val="Normal"/>
    <w:next w:val="Normal"/>
    <w:link w:val="Heading2Char"/>
    <w:uiPriority w:val="9"/>
    <w:unhideWhenUsed/>
    <w:qFormat/>
    <w:rsid w:val="00B76B79"/>
    <w:pPr>
      <w:keepNext/>
      <w:keepLines/>
      <w:pageBreakBefore/>
      <w:spacing w:before="120" w:after="240"/>
      <w:outlineLvl w:val="1"/>
    </w:pPr>
    <w:rPr>
      <w:color w:val="3B6E8F"/>
      <w:sz w:val="48"/>
      <w:szCs w:val="44"/>
    </w:rPr>
  </w:style>
  <w:style w:type="paragraph" w:styleId="Heading3">
    <w:name w:val="heading 3"/>
    <w:basedOn w:val="Normal"/>
    <w:next w:val="Normal"/>
    <w:link w:val="Heading3Char"/>
    <w:uiPriority w:val="9"/>
    <w:unhideWhenUsed/>
    <w:qFormat/>
    <w:rsid w:val="0078010C"/>
    <w:pPr>
      <w:keepNext/>
      <w:keepLines/>
      <w:spacing w:before="240"/>
      <w:outlineLvl w:val="2"/>
    </w:pPr>
    <w:rPr>
      <w:color w:val="3B6E8F"/>
      <w:sz w:val="36"/>
      <w:szCs w:val="36"/>
    </w:rPr>
  </w:style>
  <w:style w:type="paragraph" w:styleId="Heading4">
    <w:name w:val="heading 4"/>
    <w:basedOn w:val="Normal"/>
    <w:next w:val="Normal"/>
    <w:link w:val="Heading4Char"/>
    <w:uiPriority w:val="9"/>
    <w:unhideWhenUsed/>
    <w:qFormat/>
    <w:rsid w:val="00F53DA4"/>
    <w:pPr>
      <w:keepNext/>
      <w:keepLines/>
      <w:spacing w:before="120" w:after="0"/>
      <w:outlineLvl w:val="3"/>
    </w:pPr>
    <w:rPr>
      <w:color w:val="3B6E8F"/>
      <w:sz w:val="28"/>
      <w:szCs w:val="28"/>
    </w:rPr>
  </w:style>
  <w:style w:type="paragraph" w:styleId="Heading5">
    <w:name w:val="heading 5"/>
    <w:basedOn w:val="Normal"/>
    <w:next w:val="Normal"/>
    <w:link w:val="Heading5Char"/>
    <w:uiPriority w:val="9"/>
    <w:unhideWhenUsed/>
    <w:qFormat/>
    <w:rsid w:val="005A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A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4C"/>
    <w:rPr>
      <w:rFonts w:ascii="Arial" w:eastAsiaTheme="majorEastAsia" w:hAnsi="Arial" w:cs="Arial"/>
      <w:color w:val="3B6E8F"/>
      <w:sz w:val="56"/>
      <w:szCs w:val="56"/>
    </w:rPr>
  </w:style>
  <w:style w:type="character" w:customStyle="1" w:styleId="Heading2Char">
    <w:name w:val="Heading 2 Char"/>
    <w:basedOn w:val="DefaultParagraphFont"/>
    <w:link w:val="Heading2"/>
    <w:uiPriority w:val="9"/>
    <w:rsid w:val="00B76B79"/>
    <w:rPr>
      <w:rFonts w:ascii="Arial" w:eastAsia="Arial" w:hAnsi="Arial" w:cs="Arial"/>
      <w:color w:val="3B6E8F"/>
      <w:sz w:val="48"/>
      <w:szCs w:val="44"/>
    </w:rPr>
  </w:style>
  <w:style w:type="character" w:customStyle="1" w:styleId="Heading3Char">
    <w:name w:val="Heading 3 Char"/>
    <w:basedOn w:val="DefaultParagraphFont"/>
    <w:link w:val="Heading3"/>
    <w:uiPriority w:val="9"/>
    <w:rsid w:val="0078010C"/>
    <w:rPr>
      <w:rFonts w:ascii="Arial" w:hAnsi="Arial" w:cs="Arial"/>
      <w:color w:val="3B6E8F"/>
      <w:sz w:val="36"/>
      <w:szCs w:val="36"/>
    </w:rPr>
  </w:style>
  <w:style w:type="character" w:customStyle="1" w:styleId="Heading4Char">
    <w:name w:val="Heading 4 Char"/>
    <w:basedOn w:val="DefaultParagraphFont"/>
    <w:link w:val="Heading4"/>
    <w:uiPriority w:val="9"/>
    <w:rsid w:val="00F53DA4"/>
    <w:rPr>
      <w:rFonts w:ascii="Arial" w:hAnsi="Arial" w:cs="Arial"/>
      <w:color w:val="3B6E8F"/>
      <w:sz w:val="28"/>
      <w:szCs w:val="28"/>
    </w:rPr>
  </w:style>
  <w:style w:type="character" w:customStyle="1" w:styleId="Heading5Char">
    <w:name w:val="Heading 5 Char"/>
    <w:basedOn w:val="DefaultParagraphFont"/>
    <w:link w:val="Heading5"/>
    <w:uiPriority w:val="9"/>
    <w:rsid w:val="005A434C"/>
    <w:rPr>
      <w:rFonts w:ascii="Arial" w:eastAsiaTheme="majorEastAsia" w:hAnsi="Arial" w:cstheme="majorBidi"/>
      <w:color w:val="0F4761" w:themeColor="accent1" w:themeShade="BF"/>
      <w:sz w:val="24"/>
      <w:szCs w:val="24"/>
    </w:rPr>
  </w:style>
  <w:style w:type="character" w:customStyle="1" w:styleId="Heading6Char">
    <w:name w:val="Heading 6 Char"/>
    <w:basedOn w:val="DefaultParagraphFont"/>
    <w:link w:val="Heading6"/>
    <w:uiPriority w:val="9"/>
    <w:rsid w:val="005A434C"/>
    <w:rPr>
      <w:rFonts w:ascii="Arial" w:eastAsiaTheme="majorEastAsia" w:hAnsi="Arial"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A434C"/>
    <w:rPr>
      <w:rFonts w:ascii="Arial" w:eastAsiaTheme="majorEastAsia" w:hAnsi="Arial"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A434C"/>
    <w:rPr>
      <w:rFonts w:ascii="Arial" w:eastAsiaTheme="majorEastAsia" w:hAnsi="Arial"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A434C"/>
    <w:rPr>
      <w:rFonts w:ascii="Arial" w:eastAsiaTheme="majorEastAsia" w:hAnsi="Arial" w:cstheme="majorBidi"/>
      <w:color w:val="272727" w:themeColor="text1" w:themeTint="D8"/>
      <w:sz w:val="24"/>
      <w:szCs w:val="24"/>
    </w:rPr>
  </w:style>
  <w:style w:type="paragraph" w:styleId="Title">
    <w:name w:val="Title"/>
    <w:basedOn w:val="Normal"/>
    <w:next w:val="Normal"/>
    <w:link w:val="TitleChar"/>
    <w:uiPriority w:val="10"/>
    <w:qFormat/>
    <w:rsid w:val="005A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34C"/>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BA254E"/>
    <w:pPr>
      <w:spacing w:before="240" w:after="0"/>
      <w:ind w:left="284"/>
    </w:pPr>
    <w:rPr>
      <w:color w:val="3B6E8F"/>
    </w:rPr>
  </w:style>
  <w:style w:type="character" w:customStyle="1" w:styleId="QuoteChar">
    <w:name w:val="Quote Char"/>
    <w:basedOn w:val="DefaultParagraphFont"/>
    <w:link w:val="Quote"/>
    <w:uiPriority w:val="29"/>
    <w:rsid w:val="00BA254E"/>
    <w:rPr>
      <w:rFonts w:ascii="Arial" w:eastAsia="Arial" w:hAnsi="Arial" w:cs="Arial"/>
      <w:color w:val="3B6E8F"/>
      <w:sz w:val="24"/>
      <w:szCs w:val="24"/>
    </w:rPr>
  </w:style>
  <w:style w:type="paragraph" w:styleId="ListParagraph">
    <w:name w:val="List Paragraph"/>
    <w:basedOn w:val="Normal"/>
    <w:link w:val="ListParagraphChar"/>
    <w:uiPriority w:val="34"/>
    <w:qFormat/>
    <w:rsid w:val="005A434C"/>
    <w:pPr>
      <w:ind w:left="1004" w:hanging="284"/>
      <w:contextualSpacing/>
    </w:pPr>
  </w:style>
  <w:style w:type="character" w:styleId="IntenseEmphasis">
    <w:name w:val="Intense Emphasis"/>
    <w:basedOn w:val="DefaultParagraphFont"/>
    <w:uiPriority w:val="21"/>
    <w:qFormat/>
    <w:rsid w:val="005A434C"/>
    <w:rPr>
      <w:i/>
      <w:iCs/>
      <w:color w:val="0F4761" w:themeColor="accent1" w:themeShade="BF"/>
    </w:rPr>
  </w:style>
  <w:style w:type="paragraph" w:styleId="IntenseQuote">
    <w:name w:val="Intense Quote"/>
    <w:basedOn w:val="Normal"/>
    <w:next w:val="Normal"/>
    <w:link w:val="IntenseQuoteChar"/>
    <w:uiPriority w:val="30"/>
    <w:qFormat/>
    <w:rsid w:val="005A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34C"/>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5A434C"/>
    <w:rPr>
      <w:b/>
      <w:bCs/>
      <w:smallCaps/>
      <w:color w:val="0F4761" w:themeColor="accent1" w:themeShade="BF"/>
      <w:spacing w:val="5"/>
    </w:rPr>
  </w:style>
  <w:style w:type="character" w:styleId="CommentReference">
    <w:name w:val="annotation reference"/>
    <w:basedOn w:val="DefaultParagraphFont"/>
    <w:uiPriority w:val="99"/>
    <w:unhideWhenUsed/>
    <w:rsid w:val="00B021DF"/>
    <w:rPr>
      <w:sz w:val="16"/>
      <w:szCs w:val="16"/>
    </w:rPr>
  </w:style>
  <w:style w:type="paragraph" w:styleId="CommentText">
    <w:name w:val="annotation text"/>
    <w:basedOn w:val="Normal"/>
    <w:link w:val="CommentTextChar"/>
    <w:uiPriority w:val="99"/>
    <w:unhideWhenUsed/>
    <w:rsid w:val="644B5232"/>
    <w:rPr>
      <w:sz w:val="20"/>
      <w:szCs w:val="20"/>
    </w:rPr>
  </w:style>
  <w:style w:type="character" w:customStyle="1" w:styleId="CommentTextChar">
    <w:name w:val="Comment Text Char"/>
    <w:basedOn w:val="DefaultParagraphFont"/>
    <w:link w:val="CommentText"/>
    <w:uiPriority w:val="99"/>
    <w:rsid w:val="00B021DF"/>
    <w:rPr>
      <w:sz w:val="20"/>
      <w:szCs w:val="20"/>
    </w:rPr>
  </w:style>
  <w:style w:type="paragraph" w:styleId="CommentSubject">
    <w:name w:val="annotation subject"/>
    <w:basedOn w:val="CommentText"/>
    <w:next w:val="CommentText"/>
    <w:link w:val="CommentSubjectChar"/>
    <w:uiPriority w:val="99"/>
    <w:semiHidden/>
    <w:unhideWhenUsed/>
    <w:rsid w:val="00B021DF"/>
    <w:rPr>
      <w:b/>
      <w:bCs/>
    </w:rPr>
  </w:style>
  <w:style w:type="character" w:customStyle="1" w:styleId="CommentSubjectChar">
    <w:name w:val="Comment Subject Char"/>
    <w:basedOn w:val="CommentTextChar"/>
    <w:link w:val="CommentSubject"/>
    <w:uiPriority w:val="99"/>
    <w:semiHidden/>
    <w:rsid w:val="00B021DF"/>
    <w:rPr>
      <w:b/>
      <w:bCs/>
      <w:sz w:val="20"/>
      <w:szCs w:val="20"/>
    </w:rPr>
  </w:style>
  <w:style w:type="paragraph" w:styleId="Revision">
    <w:name w:val="Revision"/>
    <w:hidden/>
    <w:uiPriority w:val="99"/>
    <w:semiHidden/>
    <w:rsid w:val="00B021DF"/>
    <w:pPr>
      <w:spacing w:after="0" w:line="240" w:lineRule="auto"/>
    </w:pPr>
    <w:rPr>
      <w:sz w:val="24"/>
      <w:szCs w:val="24"/>
    </w:rPr>
  </w:style>
  <w:style w:type="character" w:styleId="Mention">
    <w:name w:val="Mention"/>
    <w:basedOn w:val="DefaultParagraphFont"/>
    <w:uiPriority w:val="99"/>
    <w:unhideWhenUsed/>
    <w:rsid w:val="00B021DF"/>
    <w:rPr>
      <w:color w:val="2B579A"/>
      <w:shd w:val="clear" w:color="auto" w:fill="E1DFDD"/>
    </w:rPr>
  </w:style>
  <w:style w:type="table" w:styleId="TableGrid">
    <w:name w:val="Table Grid"/>
    <w:basedOn w:val="TableNormal"/>
    <w:uiPriority w:val="59"/>
    <w:rsid w:val="00B021DF"/>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644B5232"/>
    <w:pPr>
      <w:tabs>
        <w:tab w:val="center" w:pos="4513"/>
        <w:tab w:val="right" w:pos="9026"/>
      </w:tabs>
      <w:spacing w:after="0"/>
    </w:pPr>
  </w:style>
  <w:style w:type="character" w:customStyle="1" w:styleId="HeaderChar">
    <w:name w:val="Header Char"/>
    <w:basedOn w:val="DefaultParagraphFont"/>
    <w:link w:val="Header"/>
    <w:uiPriority w:val="99"/>
    <w:rsid w:val="00B021DF"/>
    <w:rPr>
      <w:sz w:val="24"/>
      <w:szCs w:val="24"/>
    </w:rPr>
  </w:style>
  <w:style w:type="paragraph" w:styleId="Footer">
    <w:name w:val="footer"/>
    <w:basedOn w:val="Normal"/>
    <w:link w:val="FooterChar"/>
    <w:uiPriority w:val="99"/>
    <w:unhideWhenUsed/>
    <w:rsid w:val="644B5232"/>
    <w:pPr>
      <w:tabs>
        <w:tab w:val="center" w:pos="4513"/>
        <w:tab w:val="right" w:pos="9026"/>
      </w:tabs>
      <w:spacing w:after="0"/>
    </w:pPr>
  </w:style>
  <w:style w:type="character" w:customStyle="1" w:styleId="FooterChar">
    <w:name w:val="Footer Char"/>
    <w:basedOn w:val="DefaultParagraphFont"/>
    <w:link w:val="Footer"/>
    <w:uiPriority w:val="99"/>
    <w:rsid w:val="00B021DF"/>
    <w:rPr>
      <w:sz w:val="24"/>
      <w:szCs w:val="24"/>
    </w:rPr>
  </w:style>
  <w:style w:type="paragraph" w:styleId="TOCHeading">
    <w:name w:val="TOC Heading"/>
    <w:basedOn w:val="Heading1"/>
    <w:next w:val="Normal"/>
    <w:uiPriority w:val="39"/>
    <w:unhideWhenUsed/>
    <w:qFormat/>
    <w:rsid w:val="00B021DF"/>
    <w:pPr>
      <w:spacing w:before="240" w:after="0"/>
      <w:outlineLvl w:val="9"/>
    </w:pPr>
    <w:rPr>
      <w:kern w:val="0"/>
      <w:sz w:val="32"/>
      <w:szCs w:val="32"/>
      <w:lang w:val="en-US"/>
      <w14:ligatures w14:val="none"/>
    </w:rPr>
  </w:style>
  <w:style w:type="paragraph" w:styleId="TOC1">
    <w:name w:val="toc 1"/>
    <w:basedOn w:val="Normal"/>
    <w:next w:val="Normal"/>
    <w:uiPriority w:val="39"/>
    <w:unhideWhenUsed/>
    <w:rsid w:val="644B5232"/>
    <w:pPr>
      <w:spacing w:after="100"/>
    </w:pPr>
  </w:style>
  <w:style w:type="paragraph" w:styleId="TOC2">
    <w:name w:val="toc 2"/>
    <w:basedOn w:val="Normal"/>
    <w:next w:val="Normal"/>
    <w:uiPriority w:val="39"/>
    <w:unhideWhenUsed/>
    <w:rsid w:val="644B5232"/>
    <w:pPr>
      <w:spacing w:after="100"/>
      <w:ind w:left="240"/>
    </w:pPr>
  </w:style>
  <w:style w:type="character" w:styleId="Hyperlink">
    <w:name w:val="Hyperlink"/>
    <w:basedOn w:val="DefaultParagraphFont"/>
    <w:uiPriority w:val="99"/>
    <w:unhideWhenUsed/>
    <w:rsid w:val="003A6423"/>
    <w:rPr>
      <w:color w:val="3B6E8F"/>
      <w:u w:val="single"/>
    </w:rPr>
  </w:style>
  <w:style w:type="paragraph" w:styleId="TOC3">
    <w:name w:val="toc 3"/>
    <w:basedOn w:val="Normal"/>
    <w:next w:val="Normal"/>
    <w:uiPriority w:val="39"/>
    <w:unhideWhenUsed/>
    <w:rsid w:val="644B5232"/>
    <w:pPr>
      <w:spacing w:after="100"/>
      <w:ind w:left="440"/>
    </w:pPr>
    <w:rPr>
      <w:rFonts w:eastAsiaTheme="minorEastAsia" w:cs="Times New Roman"/>
      <w:sz w:val="22"/>
      <w:szCs w:val="22"/>
      <w:lang w:val="en-US"/>
    </w:rPr>
  </w:style>
  <w:style w:type="character" w:customStyle="1" w:styleId="normaltextrun">
    <w:name w:val="normaltextrun"/>
    <w:basedOn w:val="DefaultParagraphFont"/>
    <w:rsid w:val="00B021DF"/>
  </w:style>
  <w:style w:type="paragraph" w:customStyle="1" w:styleId="pf0">
    <w:name w:val="pf0"/>
    <w:basedOn w:val="Normal"/>
    <w:uiPriority w:val="1"/>
    <w:rsid w:val="644B5232"/>
    <w:pPr>
      <w:spacing w:beforeAutospacing="1" w:afterAutospacing="1"/>
    </w:pPr>
    <w:rPr>
      <w:rFonts w:ascii="Times New Roman" w:hAnsi="Times New Roman" w:cs="Times New Roman"/>
      <w:lang w:eastAsia="en-AU"/>
    </w:rPr>
  </w:style>
  <w:style w:type="character" w:customStyle="1" w:styleId="cf01">
    <w:name w:val="cf01"/>
    <w:basedOn w:val="DefaultParagraphFont"/>
    <w:rsid w:val="00B021DF"/>
    <w:rPr>
      <w:rFonts w:ascii="Segoe UI" w:hAnsi="Segoe UI" w:cs="Segoe UI" w:hint="default"/>
      <w:sz w:val="18"/>
      <w:szCs w:val="18"/>
    </w:rPr>
  </w:style>
  <w:style w:type="paragraph" w:customStyle="1" w:styleId="paragraph">
    <w:name w:val="paragraph"/>
    <w:basedOn w:val="Normal"/>
    <w:uiPriority w:val="1"/>
    <w:rsid w:val="644B5232"/>
    <w:pPr>
      <w:spacing w:beforeAutospacing="1" w:afterAutospacing="1"/>
    </w:pPr>
    <w:rPr>
      <w:rFonts w:ascii="Calibri" w:hAnsi="Calibri" w:cs="Calibri"/>
      <w:sz w:val="22"/>
      <w:szCs w:val="22"/>
      <w:lang w:eastAsia="en-AU"/>
    </w:rPr>
  </w:style>
  <w:style w:type="character" w:customStyle="1" w:styleId="ListParagraphChar">
    <w:name w:val="List Paragraph Char"/>
    <w:link w:val="ListParagraph"/>
    <w:uiPriority w:val="34"/>
    <w:qFormat/>
    <w:locked/>
    <w:rsid w:val="00B021DF"/>
    <w:rPr>
      <w:rFonts w:ascii="Arial" w:hAnsi="Arial" w:cs="Arial"/>
      <w:sz w:val="24"/>
      <w:szCs w:val="24"/>
    </w:rPr>
  </w:style>
  <w:style w:type="paragraph" w:customStyle="1" w:styleId="Style1hdg2">
    <w:name w:val="Style1 hdg 2"/>
    <w:basedOn w:val="Normal"/>
    <w:link w:val="Style1hdg2Char"/>
    <w:uiPriority w:val="1"/>
    <w:qFormat/>
    <w:rsid w:val="644B5232"/>
    <w:pPr>
      <w:keepNext/>
      <w:keepLines/>
      <w:spacing w:after="0"/>
      <w:outlineLvl w:val="1"/>
    </w:pPr>
    <w:rPr>
      <w:rFonts w:asciiTheme="majorHAnsi" w:eastAsiaTheme="majorEastAsia" w:hAnsiTheme="majorHAnsi" w:cstheme="majorBidi"/>
      <w:color w:val="2F5496"/>
      <w:sz w:val="26"/>
      <w:szCs w:val="26"/>
    </w:rPr>
  </w:style>
  <w:style w:type="paragraph" w:customStyle="1" w:styleId="BasicParagraph">
    <w:name w:val="[Basic Paragraph]"/>
    <w:basedOn w:val="Normal"/>
    <w:uiPriority w:val="1"/>
    <w:rsid w:val="644B5232"/>
    <w:pPr>
      <w:spacing w:after="0"/>
    </w:pPr>
    <w:rPr>
      <w:rFonts w:ascii="MinionPro-Regular" w:eastAsia="Calibri" w:hAnsi="MinionPro-Regular" w:cs="MinionPro-Regular"/>
      <w:color w:val="000000" w:themeColor="text1"/>
      <w:lang w:val="en-US"/>
    </w:rPr>
  </w:style>
  <w:style w:type="character" w:customStyle="1" w:styleId="Style1hdg2Char">
    <w:name w:val="Style1 hdg 2 Char"/>
    <w:basedOn w:val="DefaultParagraphFont"/>
    <w:link w:val="Style1hdg2"/>
    <w:uiPriority w:val="1"/>
    <w:rsid w:val="6AD0082D"/>
    <w:rPr>
      <w:rFonts w:asciiTheme="majorHAnsi" w:eastAsiaTheme="majorEastAsia" w:hAnsiTheme="majorHAnsi" w:cstheme="majorBidi"/>
      <w:color w:val="2F5496"/>
      <w:sz w:val="26"/>
      <w:szCs w:val="26"/>
      <w:lang w:val="en-AU" w:eastAsia="en-US" w:bidi="ar-SA"/>
    </w:rPr>
  </w:style>
  <w:style w:type="paragraph" w:styleId="TOC4">
    <w:name w:val="toc 4"/>
    <w:basedOn w:val="Normal"/>
    <w:next w:val="Normal"/>
    <w:uiPriority w:val="39"/>
    <w:unhideWhenUsed/>
    <w:rsid w:val="644B5232"/>
    <w:pPr>
      <w:spacing w:after="100"/>
      <w:ind w:left="720"/>
    </w:pPr>
    <w:rPr>
      <w:rFonts w:eastAsiaTheme="minorEastAsia"/>
      <w:lang w:eastAsia="en-GB"/>
    </w:rPr>
  </w:style>
  <w:style w:type="paragraph" w:styleId="TOC5">
    <w:name w:val="toc 5"/>
    <w:basedOn w:val="Normal"/>
    <w:next w:val="Normal"/>
    <w:uiPriority w:val="39"/>
    <w:unhideWhenUsed/>
    <w:rsid w:val="644B5232"/>
    <w:pPr>
      <w:spacing w:after="100"/>
      <w:ind w:left="960"/>
    </w:pPr>
    <w:rPr>
      <w:rFonts w:eastAsiaTheme="minorEastAsia"/>
      <w:lang w:eastAsia="en-GB"/>
    </w:rPr>
  </w:style>
  <w:style w:type="paragraph" w:styleId="TOC6">
    <w:name w:val="toc 6"/>
    <w:basedOn w:val="Normal"/>
    <w:next w:val="Normal"/>
    <w:uiPriority w:val="39"/>
    <w:unhideWhenUsed/>
    <w:rsid w:val="644B5232"/>
    <w:pPr>
      <w:spacing w:after="100"/>
      <w:ind w:left="1200"/>
    </w:pPr>
    <w:rPr>
      <w:rFonts w:eastAsiaTheme="minorEastAsia"/>
      <w:lang w:eastAsia="en-GB"/>
    </w:rPr>
  </w:style>
  <w:style w:type="paragraph" w:styleId="TOC7">
    <w:name w:val="toc 7"/>
    <w:basedOn w:val="Normal"/>
    <w:next w:val="Normal"/>
    <w:uiPriority w:val="39"/>
    <w:unhideWhenUsed/>
    <w:rsid w:val="644B5232"/>
    <w:pPr>
      <w:spacing w:after="100"/>
      <w:ind w:left="1440"/>
    </w:pPr>
    <w:rPr>
      <w:rFonts w:eastAsiaTheme="minorEastAsia"/>
      <w:lang w:eastAsia="en-GB"/>
    </w:rPr>
  </w:style>
  <w:style w:type="paragraph" w:styleId="TOC8">
    <w:name w:val="toc 8"/>
    <w:basedOn w:val="Normal"/>
    <w:next w:val="Normal"/>
    <w:uiPriority w:val="39"/>
    <w:unhideWhenUsed/>
    <w:rsid w:val="644B5232"/>
    <w:pPr>
      <w:spacing w:after="100"/>
      <w:ind w:left="1680"/>
    </w:pPr>
    <w:rPr>
      <w:rFonts w:eastAsiaTheme="minorEastAsia"/>
      <w:lang w:eastAsia="en-GB"/>
    </w:rPr>
  </w:style>
  <w:style w:type="paragraph" w:styleId="TOC9">
    <w:name w:val="toc 9"/>
    <w:basedOn w:val="Normal"/>
    <w:next w:val="Normal"/>
    <w:uiPriority w:val="39"/>
    <w:unhideWhenUsed/>
    <w:rsid w:val="644B5232"/>
    <w:pPr>
      <w:spacing w:after="100"/>
      <w:ind w:left="1920"/>
    </w:pPr>
    <w:rPr>
      <w:rFonts w:eastAsiaTheme="minorEastAsia"/>
      <w:lang w:eastAsia="en-GB"/>
    </w:rPr>
  </w:style>
  <w:style w:type="character" w:styleId="UnresolvedMention">
    <w:name w:val="Unresolved Mention"/>
    <w:basedOn w:val="DefaultParagraphFont"/>
    <w:uiPriority w:val="99"/>
    <w:semiHidden/>
    <w:unhideWhenUsed/>
    <w:rsid w:val="00E21061"/>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sid w:val="644B5232"/>
    <w:pPr>
      <w:spacing w:after="0"/>
    </w:pPr>
    <w:rPr>
      <w:sz w:val="20"/>
      <w:szCs w:val="20"/>
    </w:rPr>
  </w:style>
  <w:style w:type="paragraph" w:styleId="EndnoteText">
    <w:name w:val="endnote text"/>
    <w:basedOn w:val="Normal"/>
    <w:uiPriority w:val="99"/>
    <w:semiHidden/>
    <w:unhideWhenUsed/>
    <w:rsid w:val="644B5232"/>
    <w:pPr>
      <w:spacing w:after="0"/>
    </w:pPr>
    <w:rPr>
      <w:sz w:val="20"/>
      <w:szCs w:val="20"/>
    </w:rPr>
  </w:style>
  <w:style w:type="paragraph" w:styleId="NormalWeb">
    <w:name w:val="Normal (Web)"/>
    <w:basedOn w:val="Normal"/>
    <w:uiPriority w:val="99"/>
    <w:semiHidden/>
    <w:unhideWhenUsed/>
    <w:rsid w:val="0057377C"/>
    <w:rPr>
      <w:rFonts w:ascii="Times New Roman" w:hAnsi="Times New Roman" w:cs="Times New Roman"/>
    </w:rPr>
  </w:style>
  <w:style w:type="paragraph" w:styleId="Caption">
    <w:name w:val="caption"/>
    <w:basedOn w:val="Normal"/>
    <w:next w:val="Normal"/>
    <w:uiPriority w:val="35"/>
    <w:unhideWhenUsed/>
    <w:qFormat/>
    <w:rsid w:val="001A77F7"/>
    <w:pPr>
      <w:keepNext/>
      <w:keepLines/>
      <w:autoSpaceDN w:val="0"/>
      <w:spacing w:before="240"/>
    </w:pPr>
    <w:rPr>
      <w:rFonts w:eastAsia="Calibri" w:cs="Times New Roman"/>
      <w:iCs/>
      <w:color w:val="3B6E8F"/>
      <w:kern w:val="3"/>
      <w:szCs w:val="18"/>
      <w14:ligatures w14:val="none"/>
    </w:rPr>
  </w:style>
  <w:style w:type="paragraph" w:customStyle="1" w:styleId="QuoteAuthor">
    <w:name w:val="QuoteAuthor"/>
    <w:basedOn w:val="Quote"/>
    <w:qFormat/>
    <w:rsid w:val="002171F3"/>
    <w:pPr>
      <w:spacing w:before="120" w:after="120"/>
    </w:pPr>
    <w:rPr>
      <w:b/>
      <w:bCs/>
    </w:rPr>
  </w:style>
  <w:style w:type="paragraph" w:customStyle="1" w:styleId="NormalFirstAfterTable">
    <w:name w:val="NormalFirstAfterTable"/>
    <w:basedOn w:val="Normal"/>
    <w:qFormat/>
    <w:rsid w:val="00B71CCD"/>
    <w:pPr>
      <w:spacing w:before="360"/>
    </w:pPr>
  </w:style>
  <w:style w:type="character" w:styleId="FollowedHyperlink">
    <w:name w:val="FollowedHyperlink"/>
    <w:basedOn w:val="DefaultParagraphFont"/>
    <w:uiPriority w:val="99"/>
    <w:semiHidden/>
    <w:unhideWhenUsed/>
    <w:rsid w:val="007038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2322">
      <w:bodyDiv w:val="1"/>
      <w:marLeft w:val="0"/>
      <w:marRight w:val="0"/>
      <w:marTop w:val="0"/>
      <w:marBottom w:val="0"/>
      <w:divBdr>
        <w:top w:val="none" w:sz="0" w:space="0" w:color="auto"/>
        <w:left w:val="none" w:sz="0" w:space="0" w:color="auto"/>
        <w:bottom w:val="none" w:sz="0" w:space="0" w:color="auto"/>
        <w:right w:val="none" w:sz="0" w:space="0" w:color="auto"/>
      </w:divBdr>
      <w:divsChild>
        <w:div w:id="66343946">
          <w:marLeft w:val="0"/>
          <w:marRight w:val="0"/>
          <w:marTop w:val="0"/>
          <w:marBottom w:val="0"/>
          <w:divBdr>
            <w:top w:val="none" w:sz="0" w:space="0" w:color="auto"/>
            <w:left w:val="none" w:sz="0" w:space="0" w:color="auto"/>
            <w:bottom w:val="none" w:sz="0" w:space="0" w:color="auto"/>
            <w:right w:val="none" w:sz="0" w:space="0" w:color="auto"/>
          </w:divBdr>
        </w:div>
        <w:div w:id="103623917">
          <w:marLeft w:val="0"/>
          <w:marRight w:val="0"/>
          <w:marTop w:val="0"/>
          <w:marBottom w:val="0"/>
          <w:divBdr>
            <w:top w:val="none" w:sz="0" w:space="0" w:color="auto"/>
            <w:left w:val="none" w:sz="0" w:space="0" w:color="auto"/>
            <w:bottom w:val="none" w:sz="0" w:space="0" w:color="auto"/>
            <w:right w:val="none" w:sz="0" w:space="0" w:color="auto"/>
          </w:divBdr>
        </w:div>
        <w:div w:id="217059102">
          <w:marLeft w:val="0"/>
          <w:marRight w:val="0"/>
          <w:marTop w:val="0"/>
          <w:marBottom w:val="0"/>
          <w:divBdr>
            <w:top w:val="none" w:sz="0" w:space="0" w:color="auto"/>
            <w:left w:val="none" w:sz="0" w:space="0" w:color="auto"/>
            <w:bottom w:val="none" w:sz="0" w:space="0" w:color="auto"/>
            <w:right w:val="none" w:sz="0" w:space="0" w:color="auto"/>
          </w:divBdr>
        </w:div>
        <w:div w:id="347484693">
          <w:marLeft w:val="0"/>
          <w:marRight w:val="0"/>
          <w:marTop w:val="0"/>
          <w:marBottom w:val="0"/>
          <w:divBdr>
            <w:top w:val="none" w:sz="0" w:space="0" w:color="auto"/>
            <w:left w:val="none" w:sz="0" w:space="0" w:color="auto"/>
            <w:bottom w:val="none" w:sz="0" w:space="0" w:color="auto"/>
            <w:right w:val="none" w:sz="0" w:space="0" w:color="auto"/>
          </w:divBdr>
        </w:div>
        <w:div w:id="382020919">
          <w:marLeft w:val="0"/>
          <w:marRight w:val="0"/>
          <w:marTop w:val="0"/>
          <w:marBottom w:val="0"/>
          <w:divBdr>
            <w:top w:val="none" w:sz="0" w:space="0" w:color="auto"/>
            <w:left w:val="none" w:sz="0" w:space="0" w:color="auto"/>
            <w:bottom w:val="none" w:sz="0" w:space="0" w:color="auto"/>
            <w:right w:val="none" w:sz="0" w:space="0" w:color="auto"/>
          </w:divBdr>
        </w:div>
        <w:div w:id="395057544">
          <w:marLeft w:val="0"/>
          <w:marRight w:val="0"/>
          <w:marTop w:val="0"/>
          <w:marBottom w:val="0"/>
          <w:divBdr>
            <w:top w:val="none" w:sz="0" w:space="0" w:color="auto"/>
            <w:left w:val="none" w:sz="0" w:space="0" w:color="auto"/>
            <w:bottom w:val="none" w:sz="0" w:space="0" w:color="auto"/>
            <w:right w:val="none" w:sz="0" w:space="0" w:color="auto"/>
          </w:divBdr>
        </w:div>
        <w:div w:id="544028558">
          <w:marLeft w:val="0"/>
          <w:marRight w:val="0"/>
          <w:marTop w:val="0"/>
          <w:marBottom w:val="0"/>
          <w:divBdr>
            <w:top w:val="none" w:sz="0" w:space="0" w:color="auto"/>
            <w:left w:val="none" w:sz="0" w:space="0" w:color="auto"/>
            <w:bottom w:val="none" w:sz="0" w:space="0" w:color="auto"/>
            <w:right w:val="none" w:sz="0" w:space="0" w:color="auto"/>
          </w:divBdr>
        </w:div>
        <w:div w:id="626425688">
          <w:marLeft w:val="0"/>
          <w:marRight w:val="0"/>
          <w:marTop w:val="0"/>
          <w:marBottom w:val="0"/>
          <w:divBdr>
            <w:top w:val="none" w:sz="0" w:space="0" w:color="auto"/>
            <w:left w:val="none" w:sz="0" w:space="0" w:color="auto"/>
            <w:bottom w:val="none" w:sz="0" w:space="0" w:color="auto"/>
            <w:right w:val="none" w:sz="0" w:space="0" w:color="auto"/>
          </w:divBdr>
        </w:div>
        <w:div w:id="989677685">
          <w:marLeft w:val="0"/>
          <w:marRight w:val="0"/>
          <w:marTop w:val="0"/>
          <w:marBottom w:val="0"/>
          <w:divBdr>
            <w:top w:val="none" w:sz="0" w:space="0" w:color="auto"/>
            <w:left w:val="none" w:sz="0" w:space="0" w:color="auto"/>
            <w:bottom w:val="none" w:sz="0" w:space="0" w:color="auto"/>
            <w:right w:val="none" w:sz="0" w:space="0" w:color="auto"/>
          </w:divBdr>
        </w:div>
        <w:div w:id="991329336">
          <w:marLeft w:val="0"/>
          <w:marRight w:val="0"/>
          <w:marTop w:val="0"/>
          <w:marBottom w:val="0"/>
          <w:divBdr>
            <w:top w:val="none" w:sz="0" w:space="0" w:color="auto"/>
            <w:left w:val="none" w:sz="0" w:space="0" w:color="auto"/>
            <w:bottom w:val="none" w:sz="0" w:space="0" w:color="auto"/>
            <w:right w:val="none" w:sz="0" w:space="0" w:color="auto"/>
          </w:divBdr>
        </w:div>
        <w:div w:id="1003708301">
          <w:marLeft w:val="0"/>
          <w:marRight w:val="0"/>
          <w:marTop w:val="0"/>
          <w:marBottom w:val="0"/>
          <w:divBdr>
            <w:top w:val="none" w:sz="0" w:space="0" w:color="auto"/>
            <w:left w:val="none" w:sz="0" w:space="0" w:color="auto"/>
            <w:bottom w:val="none" w:sz="0" w:space="0" w:color="auto"/>
            <w:right w:val="none" w:sz="0" w:space="0" w:color="auto"/>
          </w:divBdr>
        </w:div>
        <w:div w:id="1111170958">
          <w:marLeft w:val="0"/>
          <w:marRight w:val="0"/>
          <w:marTop w:val="0"/>
          <w:marBottom w:val="0"/>
          <w:divBdr>
            <w:top w:val="none" w:sz="0" w:space="0" w:color="auto"/>
            <w:left w:val="none" w:sz="0" w:space="0" w:color="auto"/>
            <w:bottom w:val="none" w:sz="0" w:space="0" w:color="auto"/>
            <w:right w:val="none" w:sz="0" w:space="0" w:color="auto"/>
          </w:divBdr>
        </w:div>
        <w:div w:id="1221676915">
          <w:marLeft w:val="0"/>
          <w:marRight w:val="0"/>
          <w:marTop w:val="0"/>
          <w:marBottom w:val="0"/>
          <w:divBdr>
            <w:top w:val="none" w:sz="0" w:space="0" w:color="auto"/>
            <w:left w:val="none" w:sz="0" w:space="0" w:color="auto"/>
            <w:bottom w:val="none" w:sz="0" w:space="0" w:color="auto"/>
            <w:right w:val="none" w:sz="0" w:space="0" w:color="auto"/>
          </w:divBdr>
        </w:div>
        <w:div w:id="1454134469">
          <w:marLeft w:val="0"/>
          <w:marRight w:val="0"/>
          <w:marTop w:val="0"/>
          <w:marBottom w:val="0"/>
          <w:divBdr>
            <w:top w:val="none" w:sz="0" w:space="0" w:color="auto"/>
            <w:left w:val="none" w:sz="0" w:space="0" w:color="auto"/>
            <w:bottom w:val="none" w:sz="0" w:space="0" w:color="auto"/>
            <w:right w:val="none" w:sz="0" w:space="0" w:color="auto"/>
          </w:divBdr>
        </w:div>
        <w:div w:id="1459377412">
          <w:marLeft w:val="0"/>
          <w:marRight w:val="0"/>
          <w:marTop w:val="0"/>
          <w:marBottom w:val="0"/>
          <w:divBdr>
            <w:top w:val="none" w:sz="0" w:space="0" w:color="auto"/>
            <w:left w:val="none" w:sz="0" w:space="0" w:color="auto"/>
            <w:bottom w:val="none" w:sz="0" w:space="0" w:color="auto"/>
            <w:right w:val="none" w:sz="0" w:space="0" w:color="auto"/>
          </w:divBdr>
        </w:div>
        <w:div w:id="1480541248">
          <w:marLeft w:val="0"/>
          <w:marRight w:val="0"/>
          <w:marTop w:val="0"/>
          <w:marBottom w:val="0"/>
          <w:divBdr>
            <w:top w:val="none" w:sz="0" w:space="0" w:color="auto"/>
            <w:left w:val="none" w:sz="0" w:space="0" w:color="auto"/>
            <w:bottom w:val="none" w:sz="0" w:space="0" w:color="auto"/>
            <w:right w:val="none" w:sz="0" w:space="0" w:color="auto"/>
          </w:divBdr>
        </w:div>
        <w:div w:id="1565801179">
          <w:marLeft w:val="0"/>
          <w:marRight w:val="0"/>
          <w:marTop w:val="0"/>
          <w:marBottom w:val="0"/>
          <w:divBdr>
            <w:top w:val="none" w:sz="0" w:space="0" w:color="auto"/>
            <w:left w:val="none" w:sz="0" w:space="0" w:color="auto"/>
            <w:bottom w:val="none" w:sz="0" w:space="0" w:color="auto"/>
            <w:right w:val="none" w:sz="0" w:space="0" w:color="auto"/>
          </w:divBdr>
        </w:div>
        <w:div w:id="1659533703">
          <w:marLeft w:val="0"/>
          <w:marRight w:val="0"/>
          <w:marTop w:val="0"/>
          <w:marBottom w:val="0"/>
          <w:divBdr>
            <w:top w:val="none" w:sz="0" w:space="0" w:color="auto"/>
            <w:left w:val="none" w:sz="0" w:space="0" w:color="auto"/>
            <w:bottom w:val="none" w:sz="0" w:space="0" w:color="auto"/>
            <w:right w:val="none" w:sz="0" w:space="0" w:color="auto"/>
          </w:divBdr>
          <w:divsChild>
            <w:div w:id="76093592">
              <w:marLeft w:val="0"/>
              <w:marRight w:val="0"/>
              <w:marTop w:val="0"/>
              <w:marBottom w:val="0"/>
              <w:divBdr>
                <w:top w:val="none" w:sz="0" w:space="0" w:color="auto"/>
                <w:left w:val="none" w:sz="0" w:space="0" w:color="auto"/>
                <w:bottom w:val="none" w:sz="0" w:space="0" w:color="auto"/>
                <w:right w:val="none" w:sz="0" w:space="0" w:color="auto"/>
              </w:divBdr>
            </w:div>
            <w:div w:id="199901279">
              <w:marLeft w:val="0"/>
              <w:marRight w:val="0"/>
              <w:marTop w:val="0"/>
              <w:marBottom w:val="0"/>
              <w:divBdr>
                <w:top w:val="none" w:sz="0" w:space="0" w:color="auto"/>
                <w:left w:val="none" w:sz="0" w:space="0" w:color="auto"/>
                <w:bottom w:val="none" w:sz="0" w:space="0" w:color="auto"/>
                <w:right w:val="none" w:sz="0" w:space="0" w:color="auto"/>
              </w:divBdr>
            </w:div>
            <w:div w:id="207303762">
              <w:marLeft w:val="0"/>
              <w:marRight w:val="0"/>
              <w:marTop w:val="0"/>
              <w:marBottom w:val="0"/>
              <w:divBdr>
                <w:top w:val="none" w:sz="0" w:space="0" w:color="auto"/>
                <w:left w:val="none" w:sz="0" w:space="0" w:color="auto"/>
                <w:bottom w:val="none" w:sz="0" w:space="0" w:color="auto"/>
                <w:right w:val="none" w:sz="0" w:space="0" w:color="auto"/>
              </w:divBdr>
            </w:div>
            <w:div w:id="258372576">
              <w:marLeft w:val="0"/>
              <w:marRight w:val="0"/>
              <w:marTop w:val="0"/>
              <w:marBottom w:val="0"/>
              <w:divBdr>
                <w:top w:val="none" w:sz="0" w:space="0" w:color="auto"/>
                <w:left w:val="none" w:sz="0" w:space="0" w:color="auto"/>
                <w:bottom w:val="none" w:sz="0" w:space="0" w:color="auto"/>
                <w:right w:val="none" w:sz="0" w:space="0" w:color="auto"/>
              </w:divBdr>
            </w:div>
            <w:div w:id="264458608">
              <w:marLeft w:val="0"/>
              <w:marRight w:val="0"/>
              <w:marTop w:val="0"/>
              <w:marBottom w:val="0"/>
              <w:divBdr>
                <w:top w:val="none" w:sz="0" w:space="0" w:color="auto"/>
                <w:left w:val="none" w:sz="0" w:space="0" w:color="auto"/>
                <w:bottom w:val="none" w:sz="0" w:space="0" w:color="auto"/>
                <w:right w:val="none" w:sz="0" w:space="0" w:color="auto"/>
              </w:divBdr>
            </w:div>
            <w:div w:id="404886512">
              <w:marLeft w:val="0"/>
              <w:marRight w:val="0"/>
              <w:marTop w:val="0"/>
              <w:marBottom w:val="0"/>
              <w:divBdr>
                <w:top w:val="none" w:sz="0" w:space="0" w:color="auto"/>
                <w:left w:val="none" w:sz="0" w:space="0" w:color="auto"/>
                <w:bottom w:val="none" w:sz="0" w:space="0" w:color="auto"/>
                <w:right w:val="none" w:sz="0" w:space="0" w:color="auto"/>
              </w:divBdr>
            </w:div>
            <w:div w:id="502823287">
              <w:marLeft w:val="0"/>
              <w:marRight w:val="0"/>
              <w:marTop w:val="0"/>
              <w:marBottom w:val="0"/>
              <w:divBdr>
                <w:top w:val="none" w:sz="0" w:space="0" w:color="auto"/>
                <w:left w:val="none" w:sz="0" w:space="0" w:color="auto"/>
                <w:bottom w:val="none" w:sz="0" w:space="0" w:color="auto"/>
                <w:right w:val="none" w:sz="0" w:space="0" w:color="auto"/>
              </w:divBdr>
            </w:div>
            <w:div w:id="601686776">
              <w:marLeft w:val="0"/>
              <w:marRight w:val="0"/>
              <w:marTop w:val="0"/>
              <w:marBottom w:val="0"/>
              <w:divBdr>
                <w:top w:val="none" w:sz="0" w:space="0" w:color="auto"/>
                <w:left w:val="none" w:sz="0" w:space="0" w:color="auto"/>
                <w:bottom w:val="none" w:sz="0" w:space="0" w:color="auto"/>
                <w:right w:val="none" w:sz="0" w:space="0" w:color="auto"/>
              </w:divBdr>
            </w:div>
            <w:div w:id="722096157">
              <w:marLeft w:val="0"/>
              <w:marRight w:val="0"/>
              <w:marTop w:val="0"/>
              <w:marBottom w:val="0"/>
              <w:divBdr>
                <w:top w:val="none" w:sz="0" w:space="0" w:color="auto"/>
                <w:left w:val="none" w:sz="0" w:space="0" w:color="auto"/>
                <w:bottom w:val="none" w:sz="0" w:space="0" w:color="auto"/>
                <w:right w:val="none" w:sz="0" w:space="0" w:color="auto"/>
              </w:divBdr>
            </w:div>
            <w:div w:id="885607291">
              <w:marLeft w:val="0"/>
              <w:marRight w:val="0"/>
              <w:marTop w:val="0"/>
              <w:marBottom w:val="0"/>
              <w:divBdr>
                <w:top w:val="none" w:sz="0" w:space="0" w:color="auto"/>
                <w:left w:val="none" w:sz="0" w:space="0" w:color="auto"/>
                <w:bottom w:val="none" w:sz="0" w:space="0" w:color="auto"/>
                <w:right w:val="none" w:sz="0" w:space="0" w:color="auto"/>
              </w:divBdr>
            </w:div>
            <w:div w:id="1063286297">
              <w:marLeft w:val="0"/>
              <w:marRight w:val="0"/>
              <w:marTop w:val="0"/>
              <w:marBottom w:val="0"/>
              <w:divBdr>
                <w:top w:val="none" w:sz="0" w:space="0" w:color="auto"/>
                <w:left w:val="none" w:sz="0" w:space="0" w:color="auto"/>
                <w:bottom w:val="none" w:sz="0" w:space="0" w:color="auto"/>
                <w:right w:val="none" w:sz="0" w:space="0" w:color="auto"/>
              </w:divBdr>
            </w:div>
            <w:div w:id="1163088731">
              <w:marLeft w:val="0"/>
              <w:marRight w:val="0"/>
              <w:marTop w:val="0"/>
              <w:marBottom w:val="0"/>
              <w:divBdr>
                <w:top w:val="none" w:sz="0" w:space="0" w:color="auto"/>
                <w:left w:val="none" w:sz="0" w:space="0" w:color="auto"/>
                <w:bottom w:val="none" w:sz="0" w:space="0" w:color="auto"/>
                <w:right w:val="none" w:sz="0" w:space="0" w:color="auto"/>
              </w:divBdr>
            </w:div>
            <w:div w:id="1205288471">
              <w:marLeft w:val="0"/>
              <w:marRight w:val="0"/>
              <w:marTop w:val="0"/>
              <w:marBottom w:val="0"/>
              <w:divBdr>
                <w:top w:val="none" w:sz="0" w:space="0" w:color="auto"/>
                <w:left w:val="none" w:sz="0" w:space="0" w:color="auto"/>
                <w:bottom w:val="none" w:sz="0" w:space="0" w:color="auto"/>
                <w:right w:val="none" w:sz="0" w:space="0" w:color="auto"/>
              </w:divBdr>
            </w:div>
            <w:div w:id="1333264397">
              <w:marLeft w:val="0"/>
              <w:marRight w:val="0"/>
              <w:marTop w:val="0"/>
              <w:marBottom w:val="0"/>
              <w:divBdr>
                <w:top w:val="none" w:sz="0" w:space="0" w:color="auto"/>
                <w:left w:val="none" w:sz="0" w:space="0" w:color="auto"/>
                <w:bottom w:val="none" w:sz="0" w:space="0" w:color="auto"/>
                <w:right w:val="none" w:sz="0" w:space="0" w:color="auto"/>
              </w:divBdr>
            </w:div>
            <w:div w:id="1490252390">
              <w:marLeft w:val="0"/>
              <w:marRight w:val="0"/>
              <w:marTop w:val="0"/>
              <w:marBottom w:val="0"/>
              <w:divBdr>
                <w:top w:val="none" w:sz="0" w:space="0" w:color="auto"/>
                <w:left w:val="none" w:sz="0" w:space="0" w:color="auto"/>
                <w:bottom w:val="none" w:sz="0" w:space="0" w:color="auto"/>
                <w:right w:val="none" w:sz="0" w:space="0" w:color="auto"/>
              </w:divBdr>
            </w:div>
            <w:div w:id="1827236900">
              <w:marLeft w:val="0"/>
              <w:marRight w:val="0"/>
              <w:marTop w:val="0"/>
              <w:marBottom w:val="0"/>
              <w:divBdr>
                <w:top w:val="none" w:sz="0" w:space="0" w:color="auto"/>
                <w:left w:val="none" w:sz="0" w:space="0" w:color="auto"/>
                <w:bottom w:val="none" w:sz="0" w:space="0" w:color="auto"/>
                <w:right w:val="none" w:sz="0" w:space="0" w:color="auto"/>
              </w:divBdr>
            </w:div>
            <w:div w:id="1912734392">
              <w:marLeft w:val="0"/>
              <w:marRight w:val="0"/>
              <w:marTop w:val="0"/>
              <w:marBottom w:val="0"/>
              <w:divBdr>
                <w:top w:val="none" w:sz="0" w:space="0" w:color="auto"/>
                <w:left w:val="none" w:sz="0" w:space="0" w:color="auto"/>
                <w:bottom w:val="none" w:sz="0" w:space="0" w:color="auto"/>
                <w:right w:val="none" w:sz="0" w:space="0" w:color="auto"/>
              </w:divBdr>
            </w:div>
            <w:div w:id="1981764117">
              <w:marLeft w:val="0"/>
              <w:marRight w:val="0"/>
              <w:marTop w:val="0"/>
              <w:marBottom w:val="0"/>
              <w:divBdr>
                <w:top w:val="none" w:sz="0" w:space="0" w:color="auto"/>
                <w:left w:val="none" w:sz="0" w:space="0" w:color="auto"/>
                <w:bottom w:val="none" w:sz="0" w:space="0" w:color="auto"/>
                <w:right w:val="none" w:sz="0" w:space="0" w:color="auto"/>
              </w:divBdr>
            </w:div>
            <w:div w:id="2020769417">
              <w:marLeft w:val="0"/>
              <w:marRight w:val="0"/>
              <w:marTop w:val="0"/>
              <w:marBottom w:val="0"/>
              <w:divBdr>
                <w:top w:val="none" w:sz="0" w:space="0" w:color="auto"/>
                <w:left w:val="none" w:sz="0" w:space="0" w:color="auto"/>
                <w:bottom w:val="none" w:sz="0" w:space="0" w:color="auto"/>
                <w:right w:val="none" w:sz="0" w:space="0" w:color="auto"/>
              </w:divBdr>
            </w:div>
            <w:div w:id="2072801561">
              <w:marLeft w:val="0"/>
              <w:marRight w:val="0"/>
              <w:marTop w:val="0"/>
              <w:marBottom w:val="0"/>
              <w:divBdr>
                <w:top w:val="none" w:sz="0" w:space="0" w:color="auto"/>
                <w:left w:val="none" w:sz="0" w:space="0" w:color="auto"/>
                <w:bottom w:val="none" w:sz="0" w:space="0" w:color="auto"/>
                <w:right w:val="none" w:sz="0" w:space="0" w:color="auto"/>
              </w:divBdr>
            </w:div>
          </w:divsChild>
        </w:div>
        <w:div w:id="1839347989">
          <w:marLeft w:val="0"/>
          <w:marRight w:val="0"/>
          <w:marTop w:val="0"/>
          <w:marBottom w:val="0"/>
          <w:divBdr>
            <w:top w:val="none" w:sz="0" w:space="0" w:color="auto"/>
            <w:left w:val="none" w:sz="0" w:space="0" w:color="auto"/>
            <w:bottom w:val="none" w:sz="0" w:space="0" w:color="auto"/>
            <w:right w:val="none" w:sz="0" w:space="0" w:color="auto"/>
          </w:divBdr>
        </w:div>
        <w:div w:id="1865552425">
          <w:marLeft w:val="0"/>
          <w:marRight w:val="0"/>
          <w:marTop w:val="0"/>
          <w:marBottom w:val="0"/>
          <w:divBdr>
            <w:top w:val="none" w:sz="0" w:space="0" w:color="auto"/>
            <w:left w:val="none" w:sz="0" w:space="0" w:color="auto"/>
            <w:bottom w:val="none" w:sz="0" w:space="0" w:color="auto"/>
            <w:right w:val="none" w:sz="0" w:space="0" w:color="auto"/>
          </w:divBdr>
        </w:div>
        <w:div w:id="1877229425">
          <w:marLeft w:val="0"/>
          <w:marRight w:val="0"/>
          <w:marTop w:val="0"/>
          <w:marBottom w:val="0"/>
          <w:divBdr>
            <w:top w:val="none" w:sz="0" w:space="0" w:color="auto"/>
            <w:left w:val="none" w:sz="0" w:space="0" w:color="auto"/>
            <w:bottom w:val="none" w:sz="0" w:space="0" w:color="auto"/>
            <w:right w:val="none" w:sz="0" w:space="0" w:color="auto"/>
          </w:divBdr>
        </w:div>
        <w:div w:id="1882784755">
          <w:marLeft w:val="0"/>
          <w:marRight w:val="0"/>
          <w:marTop w:val="0"/>
          <w:marBottom w:val="0"/>
          <w:divBdr>
            <w:top w:val="none" w:sz="0" w:space="0" w:color="auto"/>
            <w:left w:val="none" w:sz="0" w:space="0" w:color="auto"/>
            <w:bottom w:val="none" w:sz="0" w:space="0" w:color="auto"/>
            <w:right w:val="none" w:sz="0" w:space="0" w:color="auto"/>
          </w:divBdr>
        </w:div>
        <w:div w:id="1885679298">
          <w:marLeft w:val="0"/>
          <w:marRight w:val="0"/>
          <w:marTop w:val="0"/>
          <w:marBottom w:val="0"/>
          <w:divBdr>
            <w:top w:val="none" w:sz="0" w:space="0" w:color="auto"/>
            <w:left w:val="none" w:sz="0" w:space="0" w:color="auto"/>
            <w:bottom w:val="none" w:sz="0" w:space="0" w:color="auto"/>
            <w:right w:val="none" w:sz="0" w:space="0" w:color="auto"/>
          </w:divBdr>
        </w:div>
        <w:div w:id="2054380529">
          <w:marLeft w:val="0"/>
          <w:marRight w:val="0"/>
          <w:marTop w:val="0"/>
          <w:marBottom w:val="0"/>
          <w:divBdr>
            <w:top w:val="none" w:sz="0" w:space="0" w:color="auto"/>
            <w:left w:val="none" w:sz="0" w:space="0" w:color="auto"/>
            <w:bottom w:val="none" w:sz="0" w:space="0" w:color="auto"/>
            <w:right w:val="none" w:sz="0" w:space="0" w:color="auto"/>
          </w:divBdr>
        </w:div>
        <w:div w:id="2056467313">
          <w:marLeft w:val="0"/>
          <w:marRight w:val="0"/>
          <w:marTop w:val="0"/>
          <w:marBottom w:val="0"/>
          <w:divBdr>
            <w:top w:val="none" w:sz="0" w:space="0" w:color="auto"/>
            <w:left w:val="none" w:sz="0" w:space="0" w:color="auto"/>
            <w:bottom w:val="none" w:sz="0" w:space="0" w:color="auto"/>
            <w:right w:val="none" w:sz="0" w:space="0" w:color="auto"/>
          </w:divBdr>
        </w:div>
        <w:div w:id="2141727105">
          <w:marLeft w:val="0"/>
          <w:marRight w:val="0"/>
          <w:marTop w:val="0"/>
          <w:marBottom w:val="0"/>
          <w:divBdr>
            <w:top w:val="none" w:sz="0" w:space="0" w:color="auto"/>
            <w:left w:val="none" w:sz="0" w:space="0" w:color="auto"/>
            <w:bottom w:val="none" w:sz="0" w:space="0" w:color="auto"/>
            <w:right w:val="none" w:sz="0" w:space="0" w:color="auto"/>
          </w:divBdr>
        </w:div>
        <w:div w:id="2142726718">
          <w:marLeft w:val="0"/>
          <w:marRight w:val="0"/>
          <w:marTop w:val="0"/>
          <w:marBottom w:val="0"/>
          <w:divBdr>
            <w:top w:val="none" w:sz="0" w:space="0" w:color="auto"/>
            <w:left w:val="none" w:sz="0" w:space="0" w:color="auto"/>
            <w:bottom w:val="none" w:sz="0" w:space="0" w:color="auto"/>
            <w:right w:val="none" w:sz="0" w:space="0" w:color="auto"/>
          </w:divBdr>
        </w:div>
      </w:divsChild>
    </w:div>
    <w:div w:id="148643725">
      <w:bodyDiv w:val="1"/>
      <w:marLeft w:val="0"/>
      <w:marRight w:val="0"/>
      <w:marTop w:val="0"/>
      <w:marBottom w:val="0"/>
      <w:divBdr>
        <w:top w:val="none" w:sz="0" w:space="0" w:color="auto"/>
        <w:left w:val="none" w:sz="0" w:space="0" w:color="auto"/>
        <w:bottom w:val="none" w:sz="0" w:space="0" w:color="auto"/>
        <w:right w:val="none" w:sz="0" w:space="0" w:color="auto"/>
      </w:divBdr>
      <w:divsChild>
        <w:div w:id="1807967246">
          <w:marLeft w:val="0"/>
          <w:marRight w:val="0"/>
          <w:marTop w:val="0"/>
          <w:marBottom w:val="0"/>
          <w:divBdr>
            <w:top w:val="none" w:sz="0" w:space="0" w:color="auto"/>
            <w:left w:val="none" w:sz="0" w:space="0" w:color="auto"/>
            <w:bottom w:val="none" w:sz="0" w:space="0" w:color="auto"/>
            <w:right w:val="none" w:sz="0" w:space="0" w:color="auto"/>
          </w:divBdr>
          <w:divsChild>
            <w:div w:id="554319074">
              <w:marLeft w:val="0"/>
              <w:marRight w:val="0"/>
              <w:marTop w:val="0"/>
              <w:marBottom w:val="0"/>
              <w:divBdr>
                <w:top w:val="none" w:sz="0" w:space="0" w:color="auto"/>
                <w:left w:val="none" w:sz="0" w:space="0" w:color="auto"/>
                <w:bottom w:val="none" w:sz="0" w:space="0" w:color="auto"/>
                <w:right w:val="none" w:sz="0" w:space="0" w:color="auto"/>
              </w:divBdr>
              <w:divsChild>
                <w:div w:id="640814859">
                  <w:marLeft w:val="0"/>
                  <w:marRight w:val="0"/>
                  <w:marTop w:val="0"/>
                  <w:marBottom w:val="0"/>
                  <w:divBdr>
                    <w:top w:val="none" w:sz="0" w:space="0" w:color="auto"/>
                    <w:left w:val="none" w:sz="0" w:space="0" w:color="auto"/>
                    <w:bottom w:val="none" w:sz="0" w:space="0" w:color="auto"/>
                    <w:right w:val="none" w:sz="0" w:space="0" w:color="auto"/>
                  </w:divBdr>
                </w:div>
              </w:divsChild>
            </w:div>
            <w:div w:id="1440947041">
              <w:marLeft w:val="0"/>
              <w:marRight w:val="0"/>
              <w:marTop w:val="0"/>
              <w:marBottom w:val="0"/>
              <w:divBdr>
                <w:top w:val="none" w:sz="0" w:space="0" w:color="auto"/>
                <w:left w:val="none" w:sz="0" w:space="0" w:color="auto"/>
                <w:bottom w:val="none" w:sz="0" w:space="0" w:color="auto"/>
                <w:right w:val="none" w:sz="0" w:space="0" w:color="auto"/>
              </w:divBdr>
              <w:divsChild>
                <w:div w:id="11649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6380">
      <w:bodyDiv w:val="1"/>
      <w:marLeft w:val="0"/>
      <w:marRight w:val="0"/>
      <w:marTop w:val="0"/>
      <w:marBottom w:val="0"/>
      <w:divBdr>
        <w:top w:val="none" w:sz="0" w:space="0" w:color="auto"/>
        <w:left w:val="none" w:sz="0" w:space="0" w:color="auto"/>
        <w:bottom w:val="none" w:sz="0" w:space="0" w:color="auto"/>
        <w:right w:val="none" w:sz="0" w:space="0" w:color="auto"/>
      </w:divBdr>
      <w:divsChild>
        <w:div w:id="921061681">
          <w:marLeft w:val="0"/>
          <w:marRight w:val="0"/>
          <w:marTop w:val="0"/>
          <w:marBottom w:val="0"/>
          <w:divBdr>
            <w:top w:val="none" w:sz="0" w:space="0" w:color="auto"/>
            <w:left w:val="none" w:sz="0" w:space="0" w:color="auto"/>
            <w:bottom w:val="none" w:sz="0" w:space="0" w:color="auto"/>
            <w:right w:val="none" w:sz="0" w:space="0" w:color="auto"/>
          </w:divBdr>
          <w:divsChild>
            <w:div w:id="1823932441">
              <w:marLeft w:val="0"/>
              <w:marRight w:val="0"/>
              <w:marTop w:val="0"/>
              <w:marBottom w:val="0"/>
              <w:divBdr>
                <w:top w:val="none" w:sz="0" w:space="0" w:color="auto"/>
                <w:left w:val="none" w:sz="0" w:space="0" w:color="auto"/>
                <w:bottom w:val="none" w:sz="0" w:space="0" w:color="auto"/>
                <w:right w:val="none" w:sz="0" w:space="0" w:color="auto"/>
              </w:divBdr>
              <w:divsChild>
                <w:div w:id="7146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9582">
      <w:bodyDiv w:val="1"/>
      <w:marLeft w:val="0"/>
      <w:marRight w:val="0"/>
      <w:marTop w:val="0"/>
      <w:marBottom w:val="0"/>
      <w:divBdr>
        <w:top w:val="none" w:sz="0" w:space="0" w:color="auto"/>
        <w:left w:val="none" w:sz="0" w:space="0" w:color="auto"/>
        <w:bottom w:val="none" w:sz="0" w:space="0" w:color="auto"/>
        <w:right w:val="none" w:sz="0" w:space="0" w:color="auto"/>
      </w:divBdr>
      <w:divsChild>
        <w:div w:id="46488763">
          <w:marLeft w:val="0"/>
          <w:marRight w:val="0"/>
          <w:marTop w:val="0"/>
          <w:marBottom w:val="0"/>
          <w:divBdr>
            <w:top w:val="none" w:sz="0" w:space="0" w:color="auto"/>
            <w:left w:val="none" w:sz="0" w:space="0" w:color="auto"/>
            <w:bottom w:val="none" w:sz="0" w:space="0" w:color="auto"/>
            <w:right w:val="none" w:sz="0" w:space="0" w:color="auto"/>
          </w:divBdr>
        </w:div>
        <w:div w:id="177888004">
          <w:marLeft w:val="0"/>
          <w:marRight w:val="0"/>
          <w:marTop w:val="0"/>
          <w:marBottom w:val="0"/>
          <w:divBdr>
            <w:top w:val="none" w:sz="0" w:space="0" w:color="auto"/>
            <w:left w:val="none" w:sz="0" w:space="0" w:color="auto"/>
            <w:bottom w:val="none" w:sz="0" w:space="0" w:color="auto"/>
            <w:right w:val="none" w:sz="0" w:space="0" w:color="auto"/>
          </w:divBdr>
        </w:div>
        <w:div w:id="297692201">
          <w:marLeft w:val="0"/>
          <w:marRight w:val="0"/>
          <w:marTop w:val="0"/>
          <w:marBottom w:val="0"/>
          <w:divBdr>
            <w:top w:val="none" w:sz="0" w:space="0" w:color="auto"/>
            <w:left w:val="none" w:sz="0" w:space="0" w:color="auto"/>
            <w:bottom w:val="none" w:sz="0" w:space="0" w:color="auto"/>
            <w:right w:val="none" w:sz="0" w:space="0" w:color="auto"/>
          </w:divBdr>
        </w:div>
        <w:div w:id="337394041">
          <w:marLeft w:val="0"/>
          <w:marRight w:val="0"/>
          <w:marTop w:val="0"/>
          <w:marBottom w:val="0"/>
          <w:divBdr>
            <w:top w:val="none" w:sz="0" w:space="0" w:color="auto"/>
            <w:left w:val="none" w:sz="0" w:space="0" w:color="auto"/>
            <w:bottom w:val="none" w:sz="0" w:space="0" w:color="auto"/>
            <w:right w:val="none" w:sz="0" w:space="0" w:color="auto"/>
          </w:divBdr>
        </w:div>
        <w:div w:id="411632845">
          <w:marLeft w:val="0"/>
          <w:marRight w:val="0"/>
          <w:marTop w:val="0"/>
          <w:marBottom w:val="0"/>
          <w:divBdr>
            <w:top w:val="none" w:sz="0" w:space="0" w:color="auto"/>
            <w:left w:val="none" w:sz="0" w:space="0" w:color="auto"/>
            <w:bottom w:val="none" w:sz="0" w:space="0" w:color="auto"/>
            <w:right w:val="none" w:sz="0" w:space="0" w:color="auto"/>
          </w:divBdr>
        </w:div>
        <w:div w:id="437065218">
          <w:marLeft w:val="0"/>
          <w:marRight w:val="0"/>
          <w:marTop w:val="0"/>
          <w:marBottom w:val="0"/>
          <w:divBdr>
            <w:top w:val="none" w:sz="0" w:space="0" w:color="auto"/>
            <w:left w:val="none" w:sz="0" w:space="0" w:color="auto"/>
            <w:bottom w:val="none" w:sz="0" w:space="0" w:color="auto"/>
            <w:right w:val="none" w:sz="0" w:space="0" w:color="auto"/>
          </w:divBdr>
        </w:div>
        <w:div w:id="453990220">
          <w:marLeft w:val="0"/>
          <w:marRight w:val="0"/>
          <w:marTop w:val="0"/>
          <w:marBottom w:val="0"/>
          <w:divBdr>
            <w:top w:val="none" w:sz="0" w:space="0" w:color="auto"/>
            <w:left w:val="none" w:sz="0" w:space="0" w:color="auto"/>
            <w:bottom w:val="none" w:sz="0" w:space="0" w:color="auto"/>
            <w:right w:val="none" w:sz="0" w:space="0" w:color="auto"/>
          </w:divBdr>
        </w:div>
        <w:div w:id="488835337">
          <w:marLeft w:val="0"/>
          <w:marRight w:val="0"/>
          <w:marTop w:val="0"/>
          <w:marBottom w:val="0"/>
          <w:divBdr>
            <w:top w:val="none" w:sz="0" w:space="0" w:color="auto"/>
            <w:left w:val="none" w:sz="0" w:space="0" w:color="auto"/>
            <w:bottom w:val="none" w:sz="0" w:space="0" w:color="auto"/>
            <w:right w:val="none" w:sz="0" w:space="0" w:color="auto"/>
          </w:divBdr>
        </w:div>
        <w:div w:id="567377006">
          <w:marLeft w:val="0"/>
          <w:marRight w:val="0"/>
          <w:marTop w:val="0"/>
          <w:marBottom w:val="0"/>
          <w:divBdr>
            <w:top w:val="none" w:sz="0" w:space="0" w:color="auto"/>
            <w:left w:val="none" w:sz="0" w:space="0" w:color="auto"/>
            <w:bottom w:val="none" w:sz="0" w:space="0" w:color="auto"/>
            <w:right w:val="none" w:sz="0" w:space="0" w:color="auto"/>
          </w:divBdr>
        </w:div>
        <w:div w:id="569392499">
          <w:marLeft w:val="0"/>
          <w:marRight w:val="0"/>
          <w:marTop w:val="0"/>
          <w:marBottom w:val="0"/>
          <w:divBdr>
            <w:top w:val="none" w:sz="0" w:space="0" w:color="auto"/>
            <w:left w:val="none" w:sz="0" w:space="0" w:color="auto"/>
            <w:bottom w:val="none" w:sz="0" w:space="0" w:color="auto"/>
            <w:right w:val="none" w:sz="0" w:space="0" w:color="auto"/>
          </w:divBdr>
        </w:div>
        <w:div w:id="653604209">
          <w:marLeft w:val="0"/>
          <w:marRight w:val="0"/>
          <w:marTop w:val="0"/>
          <w:marBottom w:val="0"/>
          <w:divBdr>
            <w:top w:val="none" w:sz="0" w:space="0" w:color="auto"/>
            <w:left w:val="none" w:sz="0" w:space="0" w:color="auto"/>
            <w:bottom w:val="none" w:sz="0" w:space="0" w:color="auto"/>
            <w:right w:val="none" w:sz="0" w:space="0" w:color="auto"/>
          </w:divBdr>
        </w:div>
        <w:div w:id="777212257">
          <w:marLeft w:val="0"/>
          <w:marRight w:val="0"/>
          <w:marTop w:val="0"/>
          <w:marBottom w:val="0"/>
          <w:divBdr>
            <w:top w:val="none" w:sz="0" w:space="0" w:color="auto"/>
            <w:left w:val="none" w:sz="0" w:space="0" w:color="auto"/>
            <w:bottom w:val="none" w:sz="0" w:space="0" w:color="auto"/>
            <w:right w:val="none" w:sz="0" w:space="0" w:color="auto"/>
          </w:divBdr>
        </w:div>
        <w:div w:id="828208767">
          <w:marLeft w:val="0"/>
          <w:marRight w:val="0"/>
          <w:marTop w:val="0"/>
          <w:marBottom w:val="0"/>
          <w:divBdr>
            <w:top w:val="none" w:sz="0" w:space="0" w:color="auto"/>
            <w:left w:val="none" w:sz="0" w:space="0" w:color="auto"/>
            <w:bottom w:val="none" w:sz="0" w:space="0" w:color="auto"/>
            <w:right w:val="none" w:sz="0" w:space="0" w:color="auto"/>
          </w:divBdr>
        </w:div>
        <w:div w:id="831678830">
          <w:marLeft w:val="0"/>
          <w:marRight w:val="0"/>
          <w:marTop w:val="0"/>
          <w:marBottom w:val="0"/>
          <w:divBdr>
            <w:top w:val="none" w:sz="0" w:space="0" w:color="auto"/>
            <w:left w:val="none" w:sz="0" w:space="0" w:color="auto"/>
            <w:bottom w:val="none" w:sz="0" w:space="0" w:color="auto"/>
            <w:right w:val="none" w:sz="0" w:space="0" w:color="auto"/>
          </w:divBdr>
        </w:div>
        <w:div w:id="836847780">
          <w:marLeft w:val="0"/>
          <w:marRight w:val="0"/>
          <w:marTop w:val="0"/>
          <w:marBottom w:val="0"/>
          <w:divBdr>
            <w:top w:val="none" w:sz="0" w:space="0" w:color="auto"/>
            <w:left w:val="none" w:sz="0" w:space="0" w:color="auto"/>
            <w:bottom w:val="none" w:sz="0" w:space="0" w:color="auto"/>
            <w:right w:val="none" w:sz="0" w:space="0" w:color="auto"/>
          </w:divBdr>
        </w:div>
        <w:div w:id="955410680">
          <w:marLeft w:val="0"/>
          <w:marRight w:val="0"/>
          <w:marTop w:val="0"/>
          <w:marBottom w:val="0"/>
          <w:divBdr>
            <w:top w:val="none" w:sz="0" w:space="0" w:color="auto"/>
            <w:left w:val="none" w:sz="0" w:space="0" w:color="auto"/>
            <w:bottom w:val="none" w:sz="0" w:space="0" w:color="auto"/>
            <w:right w:val="none" w:sz="0" w:space="0" w:color="auto"/>
          </w:divBdr>
        </w:div>
        <w:div w:id="1038511923">
          <w:marLeft w:val="0"/>
          <w:marRight w:val="0"/>
          <w:marTop w:val="0"/>
          <w:marBottom w:val="0"/>
          <w:divBdr>
            <w:top w:val="none" w:sz="0" w:space="0" w:color="auto"/>
            <w:left w:val="none" w:sz="0" w:space="0" w:color="auto"/>
            <w:bottom w:val="none" w:sz="0" w:space="0" w:color="auto"/>
            <w:right w:val="none" w:sz="0" w:space="0" w:color="auto"/>
          </w:divBdr>
        </w:div>
        <w:div w:id="1075281016">
          <w:marLeft w:val="0"/>
          <w:marRight w:val="0"/>
          <w:marTop w:val="0"/>
          <w:marBottom w:val="0"/>
          <w:divBdr>
            <w:top w:val="none" w:sz="0" w:space="0" w:color="auto"/>
            <w:left w:val="none" w:sz="0" w:space="0" w:color="auto"/>
            <w:bottom w:val="none" w:sz="0" w:space="0" w:color="auto"/>
            <w:right w:val="none" w:sz="0" w:space="0" w:color="auto"/>
          </w:divBdr>
        </w:div>
        <w:div w:id="1092359454">
          <w:marLeft w:val="0"/>
          <w:marRight w:val="0"/>
          <w:marTop w:val="0"/>
          <w:marBottom w:val="0"/>
          <w:divBdr>
            <w:top w:val="none" w:sz="0" w:space="0" w:color="auto"/>
            <w:left w:val="none" w:sz="0" w:space="0" w:color="auto"/>
            <w:bottom w:val="none" w:sz="0" w:space="0" w:color="auto"/>
            <w:right w:val="none" w:sz="0" w:space="0" w:color="auto"/>
          </w:divBdr>
        </w:div>
        <w:div w:id="1102527663">
          <w:marLeft w:val="0"/>
          <w:marRight w:val="0"/>
          <w:marTop w:val="0"/>
          <w:marBottom w:val="0"/>
          <w:divBdr>
            <w:top w:val="none" w:sz="0" w:space="0" w:color="auto"/>
            <w:left w:val="none" w:sz="0" w:space="0" w:color="auto"/>
            <w:bottom w:val="none" w:sz="0" w:space="0" w:color="auto"/>
            <w:right w:val="none" w:sz="0" w:space="0" w:color="auto"/>
          </w:divBdr>
        </w:div>
        <w:div w:id="1252354356">
          <w:marLeft w:val="0"/>
          <w:marRight w:val="0"/>
          <w:marTop w:val="0"/>
          <w:marBottom w:val="0"/>
          <w:divBdr>
            <w:top w:val="none" w:sz="0" w:space="0" w:color="auto"/>
            <w:left w:val="none" w:sz="0" w:space="0" w:color="auto"/>
            <w:bottom w:val="none" w:sz="0" w:space="0" w:color="auto"/>
            <w:right w:val="none" w:sz="0" w:space="0" w:color="auto"/>
          </w:divBdr>
        </w:div>
        <w:div w:id="1382554419">
          <w:marLeft w:val="0"/>
          <w:marRight w:val="0"/>
          <w:marTop w:val="0"/>
          <w:marBottom w:val="0"/>
          <w:divBdr>
            <w:top w:val="none" w:sz="0" w:space="0" w:color="auto"/>
            <w:left w:val="none" w:sz="0" w:space="0" w:color="auto"/>
            <w:bottom w:val="none" w:sz="0" w:space="0" w:color="auto"/>
            <w:right w:val="none" w:sz="0" w:space="0" w:color="auto"/>
          </w:divBdr>
        </w:div>
        <w:div w:id="1396321227">
          <w:marLeft w:val="0"/>
          <w:marRight w:val="0"/>
          <w:marTop w:val="0"/>
          <w:marBottom w:val="0"/>
          <w:divBdr>
            <w:top w:val="none" w:sz="0" w:space="0" w:color="auto"/>
            <w:left w:val="none" w:sz="0" w:space="0" w:color="auto"/>
            <w:bottom w:val="none" w:sz="0" w:space="0" w:color="auto"/>
            <w:right w:val="none" w:sz="0" w:space="0" w:color="auto"/>
          </w:divBdr>
        </w:div>
        <w:div w:id="1413045578">
          <w:marLeft w:val="0"/>
          <w:marRight w:val="0"/>
          <w:marTop w:val="0"/>
          <w:marBottom w:val="0"/>
          <w:divBdr>
            <w:top w:val="none" w:sz="0" w:space="0" w:color="auto"/>
            <w:left w:val="none" w:sz="0" w:space="0" w:color="auto"/>
            <w:bottom w:val="none" w:sz="0" w:space="0" w:color="auto"/>
            <w:right w:val="none" w:sz="0" w:space="0" w:color="auto"/>
          </w:divBdr>
        </w:div>
        <w:div w:id="1693728516">
          <w:marLeft w:val="0"/>
          <w:marRight w:val="0"/>
          <w:marTop w:val="0"/>
          <w:marBottom w:val="0"/>
          <w:divBdr>
            <w:top w:val="none" w:sz="0" w:space="0" w:color="auto"/>
            <w:left w:val="none" w:sz="0" w:space="0" w:color="auto"/>
            <w:bottom w:val="none" w:sz="0" w:space="0" w:color="auto"/>
            <w:right w:val="none" w:sz="0" w:space="0" w:color="auto"/>
          </w:divBdr>
          <w:divsChild>
            <w:div w:id="42098574">
              <w:marLeft w:val="0"/>
              <w:marRight w:val="0"/>
              <w:marTop w:val="0"/>
              <w:marBottom w:val="0"/>
              <w:divBdr>
                <w:top w:val="none" w:sz="0" w:space="0" w:color="auto"/>
                <w:left w:val="none" w:sz="0" w:space="0" w:color="auto"/>
                <w:bottom w:val="none" w:sz="0" w:space="0" w:color="auto"/>
                <w:right w:val="none" w:sz="0" w:space="0" w:color="auto"/>
              </w:divBdr>
            </w:div>
            <w:div w:id="54669227">
              <w:marLeft w:val="0"/>
              <w:marRight w:val="0"/>
              <w:marTop w:val="0"/>
              <w:marBottom w:val="0"/>
              <w:divBdr>
                <w:top w:val="none" w:sz="0" w:space="0" w:color="auto"/>
                <w:left w:val="none" w:sz="0" w:space="0" w:color="auto"/>
                <w:bottom w:val="none" w:sz="0" w:space="0" w:color="auto"/>
                <w:right w:val="none" w:sz="0" w:space="0" w:color="auto"/>
              </w:divBdr>
            </w:div>
            <w:div w:id="90319140">
              <w:marLeft w:val="0"/>
              <w:marRight w:val="0"/>
              <w:marTop w:val="0"/>
              <w:marBottom w:val="0"/>
              <w:divBdr>
                <w:top w:val="none" w:sz="0" w:space="0" w:color="auto"/>
                <w:left w:val="none" w:sz="0" w:space="0" w:color="auto"/>
                <w:bottom w:val="none" w:sz="0" w:space="0" w:color="auto"/>
                <w:right w:val="none" w:sz="0" w:space="0" w:color="auto"/>
              </w:divBdr>
            </w:div>
            <w:div w:id="277568472">
              <w:marLeft w:val="0"/>
              <w:marRight w:val="0"/>
              <w:marTop w:val="0"/>
              <w:marBottom w:val="0"/>
              <w:divBdr>
                <w:top w:val="none" w:sz="0" w:space="0" w:color="auto"/>
                <w:left w:val="none" w:sz="0" w:space="0" w:color="auto"/>
                <w:bottom w:val="none" w:sz="0" w:space="0" w:color="auto"/>
                <w:right w:val="none" w:sz="0" w:space="0" w:color="auto"/>
              </w:divBdr>
            </w:div>
            <w:div w:id="415832015">
              <w:marLeft w:val="0"/>
              <w:marRight w:val="0"/>
              <w:marTop w:val="0"/>
              <w:marBottom w:val="0"/>
              <w:divBdr>
                <w:top w:val="none" w:sz="0" w:space="0" w:color="auto"/>
                <w:left w:val="none" w:sz="0" w:space="0" w:color="auto"/>
                <w:bottom w:val="none" w:sz="0" w:space="0" w:color="auto"/>
                <w:right w:val="none" w:sz="0" w:space="0" w:color="auto"/>
              </w:divBdr>
            </w:div>
            <w:div w:id="498353889">
              <w:marLeft w:val="0"/>
              <w:marRight w:val="0"/>
              <w:marTop w:val="0"/>
              <w:marBottom w:val="0"/>
              <w:divBdr>
                <w:top w:val="none" w:sz="0" w:space="0" w:color="auto"/>
                <w:left w:val="none" w:sz="0" w:space="0" w:color="auto"/>
                <w:bottom w:val="none" w:sz="0" w:space="0" w:color="auto"/>
                <w:right w:val="none" w:sz="0" w:space="0" w:color="auto"/>
              </w:divBdr>
            </w:div>
            <w:div w:id="581985468">
              <w:marLeft w:val="0"/>
              <w:marRight w:val="0"/>
              <w:marTop w:val="0"/>
              <w:marBottom w:val="0"/>
              <w:divBdr>
                <w:top w:val="none" w:sz="0" w:space="0" w:color="auto"/>
                <w:left w:val="none" w:sz="0" w:space="0" w:color="auto"/>
                <w:bottom w:val="none" w:sz="0" w:space="0" w:color="auto"/>
                <w:right w:val="none" w:sz="0" w:space="0" w:color="auto"/>
              </w:divBdr>
            </w:div>
            <w:div w:id="682627174">
              <w:marLeft w:val="0"/>
              <w:marRight w:val="0"/>
              <w:marTop w:val="0"/>
              <w:marBottom w:val="0"/>
              <w:divBdr>
                <w:top w:val="none" w:sz="0" w:space="0" w:color="auto"/>
                <w:left w:val="none" w:sz="0" w:space="0" w:color="auto"/>
                <w:bottom w:val="none" w:sz="0" w:space="0" w:color="auto"/>
                <w:right w:val="none" w:sz="0" w:space="0" w:color="auto"/>
              </w:divBdr>
            </w:div>
            <w:div w:id="698091081">
              <w:marLeft w:val="0"/>
              <w:marRight w:val="0"/>
              <w:marTop w:val="0"/>
              <w:marBottom w:val="0"/>
              <w:divBdr>
                <w:top w:val="none" w:sz="0" w:space="0" w:color="auto"/>
                <w:left w:val="none" w:sz="0" w:space="0" w:color="auto"/>
                <w:bottom w:val="none" w:sz="0" w:space="0" w:color="auto"/>
                <w:right w:val="none" w:sz="0" w:space="0" w:color="auto"/>
              </w:divBdr>
            </w:div>
            <w:div w:id="726731320">
              <w:marLeft w:val="0"/>
              <w:marRight w:val="0"/>
              <w:marTop w:val="0"/>
              <w:marBottom w:val="0"/>
              <w:divBdr>
                <w:top w:val="none" w:sz="0" w:space="0" w:color="auto"/>
                <w:left w:val="none" w:sz="0" w:space="0" w:color="auto"/>
                <w:bottom w:val="none" w:sz="0" w:space="0" w:color="auto"/>
                <w:right w:val="none" w:sz="0" w:space="0" w:color="auto"/>
              </w:divBdr>
            </w:div>
            <w:div w:id="917715834">
              <w:marLeft w:val="0"/>
              <w:marRight w:val="0"/>
              <w:marTop w:val="0"/>
              <w:marBottom w:val="0"/>
              <w:divBdr>
                <w:top w:val="none" w:sz="0" w:space="0" w:color="auto"/>
                <w:left w:val="none" w:sz="0" w:space="0" w:color="auto"/>
                <w:bottom w:val="none" w:sz="0" w:space="0" w:color="auto"/>
                <w:right w:val="none" w:sz="0" w:space="0" w:color="auto"/>
              </w:divBdr>
            </w:div>
            <w:div w:id="958487429">
              <w:marLeft w:val="0"/>
              <w:marRight w:val="0"/>
              <w:marTop w:val="0"/>
              <w:marBottom w:val="0"/>
              <w:divBdr>
                <w:top w:val="none" w:sz="0" w:space="0" w:color="auto"/>
                <w:left w:val="none" w:sz="0" w:space="0" w:color="auto"/>
                <w:bottom w:val="none" w:sz="0" w:space="0" w:color="auto"/>
                <w:right w:val="none" w:sz="0" w:space="0" w:color="auto"/>
              </w:divBdr>
            </w:div>
            <w:div w:id="988170680">
              <w:marLeft w:val="0"/>
              <w:marRight w:val="0"/>
              <w:marTop w:val="0"/>
              <w:marBottom w:val="0"/>
              <w:divBdr>
                <w:top w:val="none" w:sz="0" w:space="0" w:color="auto"/>
                <w:left w:val="none" w:sz="0" w:space="0" w:color="auto"/>
                <w:bottom w:val="none" w:sz="0" w:space="0" w:color="auto"/>
                <w:right w:val="none" w:sz="0" w:space="0" w:color="auto"/>
              </w:divBdr>
            </w:div>
            <w:div w:id="1036928510">
              <w:marLeft w:val="0"/>
              <w:marRight w:val="0"/>
              <w:marTop w:val="0"/>
              <w:marBottom w:val="0"/>
              <w:divBdr>
                <w:top w:val="none" w:sz="0" w:space="0" w:color="auto"/>
                <w:left w:val="none" w:sz="0" w:space="0" w:color="auto"/>
                <w:bottom w:val="none" w:sz="0" w:space="0" w:color="auto"/>
                <w:right w:val="none" w:sz="0" w:space="0" w:color="auto"/>
              </w:divBdr>
            </w:div>
            <w:div w:id="1189566448">
              <w:marLeft w:val="0"/>
              <w:marRight w:val="0"/>
              <w:marTop w:val="0"/>
              <w:marBottom w:val="0"/>
              <w:divBdr>
                <w:top w:val="none" w:sz="0" w:space="0" w:color="auto"/>
                <w:left w:val="none" w:sz="0" w:space="0" w:color="auto"/>
                <w:bottom w:val="none" w:sz="0" w:space="0" w:color="auto"/>
                <w:right w:val="none" w:sz="0" w:space="0" w:color="auto"/>
              </w:divBdr>
            </w:div>
            <w:div w:id="1229076786">
              <w:marLeft w:val="0"/>
              <w:marRight w:val="0"/>
              <w:marTop w:val="0"/>
              <w:marBottom w:val="0"/>
              <w:divBdr>
                <w:top w:val="none" w:sz="0" w:space="0" w:color="auto"/>
                <w:left w:val="none" w:sz="0" w:space="0" w:color="auto"/>
                <w:bottom w:val="none" w:sz="0" w:space="0" w:color="auto"/>
                <w:right w:val="none" w:sz="0" w:space="0" w:color="auto"/>
              </w:divBdr>
            </w:div>
            <w:div w:id="1433746473">
              <w:marLeft w:val="0"/>
              <w:marRight w:val="0"/>
              <w:marTop w:val="0"/>
              <w:marBottom w:val="0"/>
              <w:divBdr>
                <w:top w:val="none" w:sz="0" w:space="0" w:color="auto"/>
                <w:left w:val="none" w:sz="0" w:space="0" w:color="auto"/>
                <w:bottom w:val="none" w:sz="0" w:space="0" w:color="auto"/>
                <w:right w:val="none" w:sz="0" w:space="0" w:color="auto"/>
              </w:divBdr>
            </w:div>
            <w:div w:id="1442144624">
              <w:marLeft w:val="0"/>
              <w:marRight w:val="0"/>
              <w:marTop w:val="0"/>
              <w:marBottom w:val="0"/>
              <w:divBdr>
                <w:top w:val="none" w:sz="0" w:space="0" w:color="auto"/>
                <w:left w:val="none" w:sz="0" w:space="0" w:color="auto"/>
                <w:bottom w:val="none" w:sz="0" w:space="0" w:color="auto"/>
                <w:right w:val="none" w:sz="0" w:space="0" w:color="auto"/>
              </w:divBdr>
            </w:div>
            <w:div w:id="1778677416">
              <w:marLeft w:val="0"/>
              <w:marRight w:val="0"/>
              <w:marTop w:val="0"/>
              <w:marBottom w:val="0"/>
              <w:divBdr>
                <w:top w:val="none" w:sz="0" w:space="0" w:color="auto"/>
                <w:left w:val="none" w:sz="0" w:space="0" w:color="auto"/>
                <w:bottom w:val="none" w:sz="0" w:space="0" w:color="auto"/>
                <w:right w:val="none" w:sz="0" w:space="0" w:color="auto"/>
              </w:divBdr>
            </w:div>
            <w:div w:id="1856187099">
              <w:marLeft w:val="0"/>
              <w:marRight w:val="0"/>
              <w:marTop w:val="0"/>
              <w:marBottom w:val="0"/>
              <w:divBdr>
                <w:top w:val="none" w:sz="0" w:space="0" w:color="auto"/>
                <w:left w:val="none" w:sz="0" w:space="0" w:color="auto"/>
                <w:bottom w:val="none" w:sz="0" w:space="0" w:color="auto"/>
                <w:right w:val="none" w:sz="0" w:space="0" w:color="auto"/>
              </w:divBdr>
            </w:div>
          </w:divsChild>
        </w:div>
        <w:div w:id="1803887070">
          <w:marLeft w:val="0"/>
          <w:marRight w:val="0"/>
          <w:marTop w:val="0"/>
          <w:marBottom w:val="0"/>
          <w:divBdr>
            <w:top w:val="none" w:sz="0" w:space="0" w:color="auto"/>
            <w:left w:val="none" w:sz="0" w:space="0" w:color="auto"/>
            <w:bottom w:val="none" w:sz="0" w:space="0" w:color="auto"/>
            <w:right w:val="none" w:sz="0" w:space="0" w:color="auto"/>
          </w:divBdr>
        </w:div>
        <w:div w:id="2083021835">
          <w:marLeft w:val="0"/>
          <w:marRight w:val="0"/>
          <w:marTop w:val="0"/>
          <w:marBottom w:val="0"/>
          <w:divBdr>
            <w:top w:val="none" w:sz="0" w:space="0" w:color="auto"/>
            <w:left w:val="none" w:sz="0" w:space="0" w:color="auto"/>
            <w:bottom w:val="none" w:sz="0" w:space="0" w:color="auto"/>
            <w:right w:val="none" w:sz="0" w:space="0" w:color="auto"/>
          </w:divBdr>
        </w:div>
      </w:divsChild>
    </w:div>
    <w:div w:id="379670563">
      <w:bodyDiv w:val="1"/>
      <w:marLeft w:val="0"/>
      <w:marRight w:val="0"/>
      <w:marTop w:val="0"/>
      <w:marBottom w:val="0"/>
      <w:divBdr>
        <w:top w:val="none" w:sz="0" w:space="0" w:color="auto"/>
        <w:left w:val="none" w:sz="0" w:space="0" w:color="auto"/>
        <w:bottom w:val="none" w:sz="0" w:space="0" w:color="auto"/>
        <w:right w:val="none" w:sz="0" w:space="0" w:color="auto"/>
      </w:divBdr>
      <w:divsChild>
        <w:div w:id="2046170631">
          <w:marLeft w:val="0"/>
          <w:marRight w:val="0"/>
          <w:marTop w:val="0"/>
          <w:marBottom w:val="0"/>
          <w:divBdr>
            <w:top w:val="none" w:sz="0" w:space="0" w:color="auto"/>
            <w:left w:val="none" w:sz="0" w:space="0" w:color="auto"/>
            <w:bottom w:val="none" w:sz="0" w:space="0" w:color="auto"/>
            <w:right w:val="none" w:sz="0" w:space="0" w:color="auto"/>
          </w:divBdr>
          <w:divsChild>
            <w:div w:id="449978013">
              <w:marLeft w:val="0"/>
              <w:marRight w:val="0"/>
              <w:marTop w:val="0"/>
              <w:marBottom w:val="0"/>
              <w:divBdr>
                <w:top w:val="none" w:sz="0" w:space="0" w:color="auto"/>
                <w:left w:val="none" w:sz="0" w:space="0" w:color="auto"/>
                <w:bottom w:val="none" w:sz="0" w:space="0" w:color="auto"/>
                <w:right w:val="none" w:sz="0" w:space="0" w:color="auto"/>
              </w:divBdr>
              <w:divsChild>
                <w:div w:id="907611868">
                  <w:marLeft w:val="0"/>
                  <w:marRight w:val="0"/>
                  <w:marTop w:val="0"/>
                  <w:marBottom w:val="0"/>
                  <w:divBdr>
                    <w:top w:val="none" w:sz="0" w:space="0" w:color="auto"/>
                    <w:left w:val="none" w:sz="0" w:space="0" w:color="auto"/>
                    <w:bottom w:val="none" w:sz="0" w:space="0" w:color="auto"/>
                    <w:right w:val="none" w:sz="0" w:space="0" w:color="auto"/>
                  </w:divBdr>
                  <w:divsChild>
                    <w:div w:id="6226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15905">
      <w:bodyDiv w:val="1"/>
      <w:marLeft w:val="0"/>
      <w:marRight w:val="0"/>
      <w:marTop w:val="0"/>
      <w:marBottom w:val="0"/>
      <w:divBdr>
        <w:top w:val="none" w:sz="0" w:space="0" w:color="auto"/>
        <w:left w:val="none" w:sz="0" w:space="0" w:color="auto"/>
        <w:bottom w:val="none" w:sz="0" w:space="0" w:color="auto"/>
        <w:right w:val="none" w:sz="0" w:space="0" w:color="auto"/>
      </w:divBdr>
      <w:divsChild>
        <w:div w:id="1267467986">
          <w:marLeft w:val="0"/>
          <w:marRight w:val="0"/>
          <w:marTop w:val="0"/>
          <w:marBottom w:val="0"/>
          <w:divBdr>
            <w:top w:val="none" w:sz="0" w:space="0" w:color="auto"/>
            <w:left w:val="none" w:sz="0" w:space="0" w:color="auto"/>
            <w:bottom w:val="none" w:sz="0" w:space="0" w:color="auto"/>
            <w:right w:val="none" w:sz="0" w:space="0" w:color="auto"/>
          </w:divBdr>
          <w:divsChild>
            <w:div w:id="239949622">
              <w:marLeft w:val="0"/>
              <w:marRight w:val="0"/>
              <w:marTop w:val="0"/>
              <w:marBottom w:val="0"/>
              <w:divBdr>
                <w:top w:val="none" w:sz="0" w:space="0" w:color="auto"/>
                <w:left w:val="none" w:sz="0" w:space="0" w:color="auto"/>
                <w:bottom w:val="none" w:sz="0" w:space="0" w:color="auto"/>
                <w:right w:val="none" w:sz="0" w:space="0" w:color="auto"/>
              </w:divBdr>
              <w:divsChild>
                <w:div w:id="1126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16685">
      <w:bodyDiv w:val="1"/>
      <w:marLeft w:val="0"/>
      <w:marRight w:val="0"/>
      <w:marTop w:val="0"/>
      <w:marBottom w:val="0"/>
      <w:divBdr>
        <w:top w:val="none" w:sz="0" w:space="0" w:color="auto"/>
        <w:left w:val="none" w:sz="0" w:space="0" w:color="auto"/>
        <w:bottom w:val="none" w:sz="0" w:space="0" w:color="auto"/>
        <w:right w:val="none" w:sz="0" w:space="0" w:color="auto"/>
      </w:divBdr>
      <w:divsChild>
        <w:div w:id="1576938647">
          <w:marLeft w:val="0"/>
          <w:marRight w:val="0"/>
          <w:marTop w:val="0"/>
          <w:marBottom w:val="0"/>
          <w:divBdr>
            <w:top w:val="none" w:sz="0" w:space="0" w:color="auto"/>
            <w:left w:val="none" w:sz="0" w:space="0" w:color="auto"/>
            <w:bottom w:val="none" w:sz="0" w:space="0" w:color="auto"/>
            <w:right w:val="none" w:sz="0" w:space="0" w:color="auto"/>
          </w:divBdr>
          <w:divsChild>
            <w:div w:id="1441951831">
              <w:marLeft w:val="0"/>
              <w:marRight w:val="0"/>
              <w:marTop w:val="0"/>
              <w:marBottom w:val="0"/>
              <w:divBdr>
                <w:top w:val="none" w:sz="0" w:space="0" w:color="auto"/>
                <w:left w:val="none" w:sz="0" w:space="0" w:color="auto"/>
                <w:bottom w:val="none" w:sz="0" w:space="0" w:color="auto"/>
                <w:right w:val="none" w:sz="0" w:space="0" w:color="auto"/>
              </w:divBdr>
              <w:divsChild>
                <w:div w:id="4556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06532">
      <w:bodyDiv w:val="1"/>
      <w:marLeft w:val="0"/>
      <w:marRight w:val="0"/>
      <w:marTop w:val="0"/>
      <w:marBottom w:val="0"/>
      <w:divBdr>
        <w:top w:val="none" w:sz="0" w:space="0" w:color="auto"/>
        <w:left w:val="none" w:sz="0" w:space="0" w:color="auto"/>
        <w:bottom w:val="none" w:sz="0" w:space="0" w:color="auto"/>
        <w:right w:val="none" w:sz="0" w:space="0" w:color="auto"/>
      </w:divBdr>
      <w:divsChild>
        <w:div w:id="194663651">
          <w:marLeft w:val="0"/>
          <w:marRight w:val="0"/>
          <w:marTop w:val="0"/>
          <w:marBottom w:val="0"/>
          <w:divBdr>
            <w:top w:val="none" w:sz="0" w:space="0" w:color="auto"/>
            <w:left w:val="none" w:sz="0" w:space="0" w:color="auto"/>
            <w:bottom w:val="none" w:sz="0" w:space="0" w:color="auto"/>
            <w:right w:val="none" w:sz="0" w:space="0" w:color="auto"/>
          </w:divBdr>
        </w:div>
        <w:div w:id="208539531">
          <w:marLeft w:val="0"/>
          <w:marRight w:val="0"/>
          <w:marTop w:val="0"/>
          <w:marBottom w:val="0"/>
          <w:divBdr>
            <w:top w:val="none" w:sz="0" w:space="0" w:color="auto"/>
            <w:left w:val="none" w:sz="0" w:space="0" w:color="auto"/>
            <w:bottom w:val="none" w:sz="0" w:space="0" w:color="auto"/>
            <w:right w:val="none" w:sz="0" w:space="0" w:color="auto"/>
          </w:divBdr>
        </w:div>
        <w:div w:id="236063084">
          <w:marLeft w:val="0"/>
          <w:marRight w:val="0"/>
          <w:marTop w:val="0"/>
          <w:marBottom w:val="0"/>
          <w:divBdr>
            <w:top w:val="none" w:sz="0" w:space="0" w:color="auto"/>
            <w:left w:val="none" w:sz="0" w:space="0" w:color="auto"/>
            <w:bottom w:val="none" w:sz="0" w:space="0" w:color="auto"/>
            <w:right w:val="none" w:sz="0" w:space="0" w:color="auto"/>
          </w:divBdr>
        </w:div>
        <w:div w:id="304088234">
          <w:marLeft w:val="0"/>
          <w:marRight w:val="0"/>
          <w:marTop w:val="0"/>
          <w:marBottom w:val="0"/>
          <w:divBdr>
            <w:top w:val="none" w:sz="0" w:space="0" w:color="auto"/>
            <w:left w:val="none" w:sz="0" w:space="0" w:color="auto"/>
            <w:bottom w:val="none" w:sz="0" w:space="0" w:color="auto"/>
            <w:right w:val="none" w:sz="0" w:space="0" w:color="auto"/>
          </w:divBdr>
        </w:div>
        <w:div w:id="363791773">
          <w:marLeft w:val="0"/>
          <w:marRight w:val="0"/>
          <w:marTop w:val="0"/>
          <w:marBottom w:val="0"/>
          <w:divBdr>
            <w:top w:val="none" w:sz="0" w:space="0" w:color="auto"/>
            <w:left w:val="none" w:sz="0" w:space="0" w:color="auto"/>
            <w:bottom w:val="none" w:sz="0" w:space="0" w:color="auto"/>
            <w:right w:val="none" w:sz="0" w:space="0" w:color="auto"/>
          </w:divBdr>
        </w:div>
        <w:div w:id="388966851">
          <w:marLeft w:val="0"/>
          <w:marRight w:val="0"/>
          <w:marTop w:val="0"/>
          <w:marBottom w:val="0"/>
          <w:divBdr>
            <w:top w:val="none" w:sz="0" w:space="0" w:color="auto"/>
            <w:left w:val="none" w:sz="0" w:space="0" w:color="auto"/>
            <w:bottom w:val="none" w:sz="0" w:space="0" w:color="auto"/>
            <w:right w:val="none" w:sz="0" w:space="0" w:color="auto"/>
          </w:divBdr>
        </w:div>
        <w:div w:id="413359386">
          <w:marLeft w:val="0"/>
          <w:marRight w:val="0"/>
          <w:marTop w:val="0"/>
          <w:marBottom w:val="0"/>
          <w:divBdr>
            <w:top w:val="none" w:sz="0" w:space="0" w:color="auto"/>
            <w:left w:val="none" w:sz="0" w:space="0" w:color="auto"/>
            <w:bottom w:val="none" w:sz="0" w:space="0" w:color="auto"/>
            <w:right w:val="none" w:sz="0" w:space="0" w:color="auto"/>
          </w:divBdr>
        </w:div>
        <w:div w:id="454107934">
          <w:marLeft w:val="0"/>
          <w:marRight w:val="0"/>
          <w:marTop w:val="0"/>
          <w:marBottom w:val="0"/>
          <w:divBdr>
            <w:top w:val="none" w:sz="0" w:space="0" w:color="auto"/>
            <w:left w:val="none" w:sz="0" w:space="0" w:color="auto"/>
            <w:bottom w:val="none" w:sz="0" w:space="0" w:color="auto"/>
            <w:right w:val="none" w:sz="0" w:space="0" w:color="auto"/>
          </w:divBdr>
        </w:div>
        <w:div w:id="597327725">
          <w:marLeft w:val="0"/>
          <w:marRight w:val="0"/>
          <w:marTop w:val="0"/>
          <w:marBottom w:val="0"/>
          <w:divBdr>
            <w:top w:val="none" w:sz="0" w:space="0" w:color="auto"/>
            <w:left w:val="none" w:sz="0" w:space="0" w:color="auto"/>
            <w:bottom w:val="none" w:sz="0" w:space="0" w:color="auto"/>
            <w:right w:val="none" w:sz="0" w:space="0" w:color="auto"/>
          </w:divBdr>
        </w:div>
        <w:div w:id="612173642">
          <w:marLeft w:val="0"/>
          <w:marRight w:val="0"/>
          <w:marTop w:val="0"/>
          <w:marBottom w:val="0"/>
          <w:divBdr>
            <w:top w:val="none" w:sz="0" w:space="0" w:color="auto"/>
            <w:left w:val="none" w:sz="0" w:space="0" w:color="auto"/>
            <w:bottom w:val="none" w:sz="0" w:space="0" w:color="auto"/>
            <w:right w:val="none" w:sz="0" w:space="0" w:color="auto"/>
          </w:divBdr>
        </w:div>
        <w:div w:id="694035891">
          <w:marLeft w:val="0"/>
          <w:marRight w:val="0"/>
          <w:marTop w:val="0"/>
          <w:marBottom w:val="0"/>
          <w:divBdr>
            <w:top w:val="none" w:sz="0" w:space="0" w:color="auto"/>
            <w:left w:val="none" w:sz="0" w:space="0" w:color="auto"/>
            <w:bottom w:val="none" w:sz="0" w:space="0" w:color="auto"/>
            <w:right w:val="none" w:sz="0" w:space="0" w:color="auto"/>
          </w:divBdr>
        </w:div>
        <w:div w:id="741951707">
          <w:marLeft w:val="0"/>
          <w:marRight w:val="0"/>
          <w:marTop w:val="0"/>
          <w:marBottom w:val="0"/>
          <w:divBdr>
            <w:top w:val="none" w:sz="0" w:space="0" w:color="auto"/>
            <w:left w:val="none" w:sz="0" w:space="0" w:color="auto"/>
            <w:bottom w:val="none" w:sz="0" w:space="0" w:color="auto"/>
            <w:right w:val="none" w:sz="0" w:space="0" w:color="auto"/>
          </w:divBdr>
        </w:div>
        <w:div w:id="744423752">
          <w:marLeft w:val="0"/>
          <w:marRight w:val="0"/>
          <w:marTop w:val="0"/>
          <w:marBottom w:val="0"/>
          <w:divBdr>
            <w:top w:val="none" w:sz="0" w:space="0" w:color="auto"/>
            <w:left w:val="none" w:sz="0" w:space="0" w:color="auto"/>
            <w:bottom w:val="none" w:sz="0" w:space="0" w:color="auto"/>
            <w:right w:val="none" w:sz="0" w:space="0" w:color="auto"/>
          </w:divBdr>
        </w:div>
        <w:div w:id="767509770">
          <w:marLeft w:val="0"/>
          <w:marRight w:val="0"/>
          <w:marTop w:val="0"/>
          <w:marBottom w:val="0"/>
          <w:divBdr>
            <w:top w:val="none" w:sz="0" w:space="0" w:color="auto"/>
            <w:left w:val="none" w:sz="0" w:space="0" w:color="auto"/>
            <w:bottom w:val="none" w:sz="0" w:space="0" w:color="auto"/>
            <w:right w:val="none" w:sz="0" w:space="0" w:color="auto"/>
          </w:divBdr>
          <w:divsChild>
            <w:div w:id="22830026">
              <w:marLeft w:val="0"/>
              <w:marRight w:val="0"/>
              <w:marTop w:val="0"/>
              <w:marBottom w:val="0"/>
              <w:divBdr>
                <w:top w:val="none" w:sz="0" w:space="0" w:color="auto"/>
                <w:left w:val="none" w:sz="0" w:space="0" w:color="auto"/>
                <w:bottom w:val="none" w:sz="0" w:space="0" w:color="auto"/>
                <w:right w:val="none" w:sz="0" w:space="0" w:color="auto"/>
              </w:divBdr>
            </w:div>
            <w:div w:id="244262534">
              <w:marLeft w:val="0"/>
              <w:marRight w:val="0"/>
              <w:marTop w:val="0"/>
              <w:marBottom w:val="0"/>
              <w:divBdr>
                <w:top w:val="none" w:sz="0" w:space="0" w:color="auto"/>
                <w:left w:val="none" w:sz="0" w:space="0" w:color="auto"/>
                <w:bottom w:val="none" w:sz="0" w:space="0" w:color="auto"/>
                <w:right w:val="none" w:sz="0" w:space="0" w:color="auto"/>
              </w:divBdr>
            </w:div>
            <w:div w:id="375857961">
              <w:marLeft w:val="0"/>
              <w:marRight w:val="0"/>
              <w:marTop w:val="0"/>
              <w:marBottom w:val="0"/>
              <w:divBdr>
                <w:top w:val="none" w:sz="0" w:space="0" w:color="auto"/>
                <w:left w:val="none" w:sz="0" w:space="0" w:color="auto"/>
                <w:bottom w:val="none" w:sz="0" w:space="0" w:color="auto"/>
                <w:right w:val="none" w:sz="0" w:space="0" w:color="auto"/>
              </w:divBdr>
            </w:div>
            <w:div w:id="407773556">
              <w:marLeft w:val="0"/>
              <w:marRight w:val="0"/>
              <w:marTop w:val="0"/>
              <w:marBottom w:val="0"/>
              <w:divBdr>
                <w:top w:val="none" w:sz="0" w:space="0" w:color="auto"/>
                <w:left w:val="none" w:sz="0" w:space="0" w:color="auto"/>
                <w:bottom w:val="none" w:sz="0" w:space="0" w:color="auto"/>
                <w:right w:val="none" w:sz="0" w:space="0" w:color="auto"/>
              </w:divBdr>
            </w:div>
            <w:div w:id="573708114">
              <w:marLeft w:val="0"/>
              <w:marRight w:val="0"/>
              <w:marTop w:val="0"/>
              <w:marBottom w:val="0"/>
              <w:divBdr>
                <w:top w:val="none" w:sz="0" w:space="0" w:color="auto"/>
                <w:left w:val="none" w:sz="0" w:space="0" w:color="auto"/>
                <w:bottom w:val="none" w:sz="0" w:space="0" w:color="auto"/>
                <w:right w:val="none" w:sz="0" w:space="0" w:color="auto"/>
              </w:divBdr>
            </w:div>
            <w:div w:id="718018319">
              <w:marLeft w:val="0"/>
              <w:marRight w:val="0"/>
              <w:marTop w:val="0"/>
              <w:marBottom w:val="0"/>
              <w:divBdr>
                <w:top w:val="none" w:sz="0" w:space="0" w:color="auto"/>
                <w:left w:val="none" w:sz="0" w:space="0" w:color="auto"/>
                <w:bottom w:val="none" w:sz="0" w:space="0" w:color="auto"/>
                <w:right w:val="none" w:sz="0" w:space="0" w:color="auto"/>
              </w:divBdr>
            </w:div>
            <w:div w:id="730661035">
              <w:marLeft w:val="0"/>
              <w:marRight w:val="0"/>
              <w:marTop w:val="0"/>
              <w:marBottom w:val="0"/>
              <w:divBdr>
                <w:top w:val="none" w:sz="0" w:space="0" w:color="auto"/>
                <w:left w:val="none" w:sz="0" w:space="0" w:color="auto"/>
                <w:bottom w:val="none" w:sz="0" w:space="0" w:color="auto"/>
                <w:right w:val="none" w:sz="0" w:space="0" w:color="auto"/>
              </w:divBdr>
            </w:div>
            <w:div w:id="880945696">
              <w:marLeft w:val="0"/>
              <w:marRight w:val="0"/>
              <w:marTop w:val="0"/>
              <w:marBottom w:val="0"/>
              <w:divBdr>
                <w:top w:val="none" w:sz="0" w:space="0" w:color="auto"/>
                <w:left w:val="none" w:sz="0" w:space="0" w:color="auto"/>
                <w:bottom w:val="none" w:sz="0" w:space="0" w:color="auto"/>
                <w:right w:val="none" w:sz="0" w:space="0" w:color="auto"/>
              </w:divBdr>
            </w:div>
            <w:div w:id="885028754">
              <w:marLeft w:val="0"/>
              <w:marRight w:val="0"/>
              <w:marTop w:val="0"/>
              <w:marBottom w:val="0"/>
              <w:divBdr>
                <w:top w:val="none" w:sz="0" w:space="0" w:color="auto"/>
                <w:left w:val="none" w:sz="0" w:space="0" w:color="auto"/>
                <w:bottom w:val="none" w:sz="0" w:space="0" w:color="auto"/>
                <w:right w:val="none" w:sz="0" w:space="0" w:color="auto"/>
              </w:divBdr>
            </w:div>
            <w:div w:id="947737184">
              <w:marLeft w:val="0"/>
              <w:marRight w:val="0"/>
              <w:marTop w:val="0"/>
              <w:marBottom w:val="0"/>
              <w:divBdr>
                <w:top w:val="none" w:sz="0" w:space="0" w:color="auto"/>
                <w:left w:val="none" w:sz="0" w:space="0" w:color="auto"/>
                <w:bottom w:val="none" w:sz="0" w:space="0" w:color="auto"/>
                <w:right w:val="none" w:sz="0" w:space="0" w:color="auto"/>
              </w:divBdr>
            </w:div>
            <w:div w:id="1136795975">
              <w:marLeft w:val="0"/>
              <w:marRight w:val="0"/>
              <w:marTop w:val="0"/>
              <w:marBottom w:val="0"/>
              <w:divBdr>
                <w:top w:val="none" w:sz="0" w:space="0" w:color="auto"/>
                <w:left w:val="none" w:sz="0" w:space="0" w:color="auto"/>
                <w:bottom w:val="none" w:sz="0" w:space="0" w:color="auto"/>
                <w:right w:val="none" w:sz="0" w:space="0" w:color="auto"/>
              </w:divBdr>
            </w:div>
            <w:div w:id="1159081328">
              <w:marLeft w:val="0"/>
              <w:marRight w:val="0"/>
              <w:marTop w:val="0"/>
              <w:marBottom w:val="0"/>
              <w:divBdr>
                <w:top w:val="none" w:sz="0" w:space="0" w:color="auto"/>
                <w:left w:val="none" w:sz="0" w:space="0" w:color="auto"/>
                <w:bottom w:val="none" w:sz="0" w:space="0" w:color="auto"/>
                <w:right w:val="none" w:sz="0" w:space="0" w:color="auto"/>
              </w:divBdr>
            </w:div>
            <w:div w:id="1373385249">
              <w:marLeft w:val="0"/>
              <w:marRight w:val="0"/>
              <w:marTop w:val="0"/>
              <w:marBottom w:val="0"/>
              <w:divBdr>
                <w:top w:val="none" w:sz="0" w:space="0" w:color="auto"/>
                <w:left w:val="none" w:sz="0" w:space="0" w:color="auto"/>
                <w:bottom w:val="none" w:sz="0" w:space="0" w:color="auto"/>
                <w:right w:val="none" w:sz="0" w:space="0" w:color="auto"/>
              </w:divBdr>
            </w:div>
            <w:div w:id="1375618033">
              <w:marLeft w:val="0"/>
              <w:marRight w:val="0"/>
              <w:marTop w:val="0"/>
              <w:marBottom w:val="0"/>
              <w:divBdr>
                <w:top w:val="none" w:sz="0" w:space="0" w:color="auto"/>
                <w:left w:val="none" w:sz="0" w:space="0" w:color="auto"/>
                <w:bottom w:val="none" w:sz="0" w:space="0" w:color="auto"/>
                <w:right w:val="none" w:sz="0" w:space="0" w:color="auto"/>
              </w:divBdr>
            </w:div>
            <w:div w:id="1627391399">
              <w:marLeft w:val="0"/>
              <w:marRight w:val="0"/>
              <w:marTop w:val="0"/>
              <w:marBottom w:val="0"/>
              <w:divBdr>
                <w:top w:val="none" w:sz="0" w:space="0" w:color="auto"/>
                <w:left w:val="none" w:sz="0" w:space="0" w:color="auto"/>
                <w:bottom w:val="none" w:sz="0" w:space="0" w:color="auto"/>
                <w:right w:val="none" w:sz="0" w:space="0" w:color="auto"/>
              </w:divBdr>
            </w:div>
            <w:div w:id="1688947858">
              <w:marLeft w:val="0"/>
              <w:marRight w:val="0"/>
              <w:marTop w:val="0"/>
              <w:marBottom w:val="0"/>
              <w:divBdr>
                <w:top w:val="none" w:sz="0" w:space="0" w:color="auto"/>
                <w:left w:val="none" w:sz="0" w:space="0" w:color="auto"/>
                <w:bottom w:val="none" w:sz="0" w:space="0" w:color="auto"/>
                <w:right w:val="none" w:sz="0" w:space="0" w:color="auto"/>
              </w:divBdr>
            </w:div>
            <w:div w:id="1793281729">
              <w:marLeft w:val="0"/>
              <w:marRight w:val="0"/>
              <w:marTop w:val="0"/>
              <w:marBottom w:val="0"/>
              <w:divBdr>
                <w:top w:val="none" w:sz="0" w:space="0" w:color="auto"/>
                <w:left w:val="none" w:sz="0" w:space="0" w:color="auto"/>
                <w:bottom w:val="none" w:sz="0" w:space="0" w:color="auto"/>
                <w:right w:val="none" w:sz="0" w:space="0" w:color="auto"/>
              </w:divBdr>
            </w:div>
            <w:div w:id="1835026274">
              <w:marLeft w:val="0"/>
              <w:marRight w:val="0"/>
              <w:marTop w:val="0"/>
              <w:marBottom w:val="0"/>
              <w:divBdr>
                <w:top w:val="none" w:sz="0" w:space="0" w:color="auto"/>
                <w:left w:val="none" w:sz="0" w:space="0" w:color="auto"/>
                <w:bottom w:val="none" w:sz="0" w:space="0" w:color="auto"/>
                <w:right w:val="none" w:sz="0" w:space="0" w:color="auto"/>
              </w:divBdr>
            </w:div>
            <w:div w:id="1940865971">
              <w:marLeft w:val="0"/>
              <w:marRight w:val="0"/>
              <w:marTop w:val="0"/>
              <w:marBottom w:val="0"/>
              <w:divBdr>
                <w:top w:val="none" w:sz="0" w:space="0" w:color="auto"/>
                <w:left w:val="none" w:sz="0" w:space="0" w:color="auto"/>
                <w:bottom w:val="none" w:sz="0" w:space="0" w:color="auto"/>
                <w:right w:val="none" w:sz="0" w:space="0" w:color="auto"/>
              </w:divBdr>
            </w:div>
            <w:div w:id="1942106054">
              <w:marLeft w:val="0"/>
              <w:marRight w:val="0"/>
              <w:marTop w:val="0"/>
              <w:marBottom w:val="0"/>
              <w:divBdr>
                <w:top w:val="none" w:sz="0" w:space="0" w:color="auto"/>
                <w:left w:val="none" w:sz="0" w:space="0" w:color="auto"/>
                <w:bottom w:val="none" w:sz="0" w:space="0" w:color="auto"/>
                <w:right w:val="none" w:sz="0" w:space="0" w:color="auto"/>
              </w:divBdr>
            </w:div>
          </w:divsChild>
        </w:div>
        <w:div w:id="861940280">
          <w:marLeft w:val="0"/>
          <w:marRight w:val="0"/>
          <w:marTop w:val="0"/>
          <w:marBottom w:val="0"/>
          <w:divBdr>
            <w:top w:val="none" w:sz="0" w:space="0" w:color="auto"/>
            <w:left w:val="none" w:sz="0" w:space="0" w:color="auto"/>
            <w:bottom w:val="none" w:sz="0" w:space="0" w:color="auto"/>
            <w:right w:val="none" w:sz="0" w:space="0" w:color="auto"/>
          </w:divBdr>
        </w:div>
        <w:div w:id="951398203">
          <w:marLeft w:val="0"/>
          <w:marRight w:val="0"/>
          <w:marTop w:val="0"/>
          <w:marBottom w:val="0"/>
          <w:divBdr>
            <w:top w:val="none" w:sz="0" w:space="0" w:color="auto"/>
            <w:left w:val="none" w:sz="0" w:space="0" w:color="auto"/>
            <w:bottom w:val="none" w:sz="0" w:space="0" w:color="auto"/>
            <w:right w:val="none" w:sz="0" w:space="0" w:color="auto"/>
          </w:divBdr>
        </w:div>
        <w:div w:id="974602519">
          <w:marLeft w:val="0"/>
          <w:marRight w:val="0"/>
          <w:marTop w:val="0"/>
          <w:marBottom w:val="0"/>
          <w:divBdr>
            <w:top w:val="none" w:sz="0" w:space="0" w:color="auto"/>
            <w:left w:val="none" w:sz="0" w:space="0" w:color="auto"/>
            <w:bottom w:val="none" w:sz="0" w:space="0" w:color="auto"/>
            <w:right w:val="none" w:sz="0" w:space="0" w:color="auto"/>
          </w:divBdr>
        </w:div>
        <w:div w:id="983045002">
          <w:marLeft w:val="0"/>
          <w:marRight w:val="0"/>
          <w:marTop w:val="0"/>
          <w:marBottom w:val="0"/>
          <w:divBdr>
            <w:top w:val="none" w:sz="0" w:space="0" w:color="auto"/>
            <w:left w:val="none" w:sz="0" w:space="0" w:color="auto"/>
            <w:bottom w:val="none" w:sz="0" w:space="0" w:color="auto"/>
            <w:right w:val="none" w:sz="0" w:space="0" w:color="auto"/>
          </w:divBdr>
        </w:div>
        <w:div w:id="1291935080">
          <w:marLeft w:val="0"/>
          <w:marRight w:val="0"/>
          <w:marTop w:val="0"/>
          <w:marBottom w:val="0"/>
          <w:divBdr>
            <w:top w:val="none" w:sz="0" w:space="0" w:color="auto"/>
            <w:left w:val="none" w:sz="0" w:space="0" w:color="auto"/>
            <w:bottom w:val="none" w:sz="0" w:space="0" w:color="auto"/>
            <w:right w:val="none" w:sz="0" w:space="0" w:color="auto"/>
          </w:divBdr>
        </w:div>
        <w:div w:id="1309281552">
          <w:marLeft w:val="0"/>
          <w:marRight w:val="0"/>
          <w:marTop w:val="0"/>
          <w:marBottom w:val="0"/>
          <w:divBdr>
            <w:top w:val="none" w:sz="0" w:space="0" w:color="auto"/>
            <w:left w:val="none" w:sz="0" w:space="0" w:color="auto"/>
            <w:bottom w:val="none" w:sz="0" w:space="0" w:color="auto"/>
            <w:right w:val="none" w:sz="0" w:space="0" w:color="auto"/>
          </w:divBdr>
        </w:div>
        <w:div w:id="1324311062">
          <w:marLeft w:val="0"/>
          <w:marRight w:val="0"/>
          <w:marTop w:val="0"/>
          <w:marBottom w:val="0"/>
          <w:divBdr>
            <w:top w:val="none" w:sz="0" w:space="0" w:color="auto"/>
            <w:left w:val="none" w:sz="0" w:space="0" w:color="auto"/>
            <w:bottom w:val="none" w:sz="0" w:space="0" w:color="auto"/>
            <w:right w:val="none" w:sz="0" w:space="0" w:color="auto"/>
          </w:divBdr>
        </w:div>
        <w:div w:id="1398170505">
          <w:marLeft w:val="0"/>
          <w:marRight w:val="0"/>
          <w:marTop w:val="0"/>
          <w:marBottom w:val="0"/>
          <w:divBdr>
            <w:top w:val="none" w:sz="0" w:space="0" w:color="auto"/>
            <w:left w:val="none" w:sz="0" w:space="0" w:color="auto"/>
            <w:bottom w:val="none" w:sz="0" w:space="0" w:color="auto"/>
            <w:right w:val="none" w:sz="0" w:space="0" w:color="auto"/>
          </w:divBdr>
        </w:div>
        <w:div w:id="1440680793">
          <w:marLeft w:val="0"/>
          <w:marRight w:val="0"/>
          <w:marTop w:val="0"/>
          <w:marBottom w:val="0"/>
          <w:divBdr>
            <w:top w:val="none" w:sz="0" w:space="0" w:color="auto"/>
            <w:left w:val="none" w:sz="0" w:space="0" w:color="auto"/>
            <w:bottom w:val="none" w:sz="0" w:space="0" w:color="auto"/>
            <w:right w:val="none" w:sz="0" w:space="0" w:color="auto"/>
          </w:divBdr>
        </w:div>
        <w:div w:id="1761901372">
          <w:marLeft w:val="0"/>
          <w:marRight w:val="0"/>
          <w:marTop w:val="0"/>
          <w:marBottom w:val="0"/>
          <w:divBdr>
            <w:top w:val="none" w:sz="0" w:space="0" w:color="auto"/>
            <w:left w:val="none" w:sz="0" w:space="0" w:color="auto"/>
            <w:bottom w:val="none" w:sz="0" w:space="0" w:color="auto"/>
            <w:right w:val="none" w:sz="0" w:space="0" w:color="auto"/>
          </w:divBdr>
        </w:div>
        <w:div w:id="1866627526">
          <w:marLeft w:val="0"/>
          <w:marRight w:val="0"/>
          <w:marTop w:val="0"/>
          <w:marBottom w:val="0"/>
          <w:divBdr>
            <w:top w:val="none" w:sz="0" w:space="0" w:color="auto"/>
            <w:left w:val="none" w:sz="0" w:space="0" w:color="auto"/>
            <w:bottom w:val="none" w:sz="0" w:space="0" w:color="auto"/>
            <w:right w:val="none" w:sz="0" w:space="0" w:color="auto"/>
          </w:divBdr>
        </w:div>
        <w:div w:id="1904442908">
          <w:marLeft w:val="0"/>
          <w:marRight w:val="0"/>
          <w:marTop w:val="0"/>
          <w:marBottom w:val="0"/>
          <w:divBdr>
            <w:top w:val="none" w:sz="0" w:space="0" w:color="auto"/>
            <w:left w:val="none" w:sz="0" w:space="0" w:color="auto"/>
            <w:bottom w:val="none" w:sz="0" w:space="0" w:color="auto"/>
            <w:right w:val="none" w:sz="0" w:space="0" w:color="auto"/>
          </w:divBdr>
        </w:div>
        <w:div w:id="1939288285">
          <w:marLeft w:val="0"/>
          <w:marRight w:val="0"/>
          <w:marTop w:val="0"/>
          <w:marBottom w:val="0"/>
          <w:divBdr>
            <w:top w:val="none" w:sz="0" w:space="0" w:color="auto"/>
            <w:left w:val="none" w:sz="0" w:space="0" w:color="auto"/>
            <w:bottom w:val="none" w:sz="0" w:space="0" w:color="auto"/>
            <w:right w:val="none" w:sz="0" w:space="0" w:color="auto"/>
          </w:divBdr>
        </w:div>
      </w:divsChild>
    </w:div>
    <w:div w:id="792790251">
      <w:bodyDiv w:val="1"/>
      <w:marLeft w:val="0"/>
      <w:marRight w:val="0"/>
      <w:marTop w:val="0"/>
      <w:marBottom w:val="0"/>
      <w:divBdr>
        <w:top w:val="none" w:sz="0" w:space="0" w:color="auto"/>
        <w:left w:val="none" w:sz="0" w:space="0" w:color="auto"/>
        <w:bottom w:val="none" w:sz="0" w:space="0" w:color="auto"/>
        <w:right w:val="none" w:sz="0" w:space="0" w:color="auto"/>
      </w:divBdr>
      <w:divsChild>
        <w:div w:id="7413132">
          <w:marLeft w:val="0"/>
          <w:marRight w:val="0"/>
          <w:marTop w:val="0"/>
          <w:marBottom w:val="0"/>
          <w:divBdr>
            <w:top w:val="none" w:sz="0" w:space="0" w:color="auto"/>
            <w:left w:val="none" w:sz="0" w:space="0" w:color="auto"/>
            <w:bottom w:val="none" w:sz="0" w:space="0" w:color="auto"/>
            <w:right w:val="none" w:sz="0" w:space="0" w:color="auto"/>
          </w:divBdr>
        </w:div>
        <w:div w:id="16855689">
          <w:marLeft w:val="0"/>
          <w:marRight w:val="0"/>
          <w:marTop w:val="0"/>
          <w:marBottom w:val="0"/>
          <w:divBdr>
            <w:top w:val="none" w:sz="0" w:space="0" w:color="auto"/>
            <w:left w:val="none" w:sz="0" w:space="0" w:color="auto"/>
            <w:bottom w:val="none" w:sz="0" w:space="0" w:color="auto"/>
            <w:right w:val="none" w:sz="0" w:space="0" w:color="auto"/>
          </w:divBdr>
        </w:div>
        <w:div w:id="263342781">
          <w:marLeft w:val="0"/>
          <w:marRight w:val="0"/>
          <w:marTop w:val="0"/>
          <w:marBottom w:val="0"/>
          <w:divBdr>
            <w:top w:val="none" w:sz="0" w:space="0" w:color="auto"/>
            <w:left w:val="none" w:sz="0" w:space="0" w:color="auto"/>
            <w:bottom w:val="none" w:sz="0" w:space="0" w:color="auto"/>
            <w:right w:val="none" w:sz="0" w:space="0" w:color="auto"/>
          </w:divBdr>
        </w:div>
        <w:div w:id="471102644">
          <w:marLeft w:val="0"/>
          <w:marRight w:val="0"/>
          <w:marTop w:val="0"/>
          <w:marBottom w:val="0"/>
          <w:divBdr>
            <w:top w:val="none" w:sz="0" w:space="0" w:color="auto"/>
            <w:left w:val="none" w:sz="0" w:space="0" w:color="auto"/>
            <w:bottom w:val="none" w:sz="0" w:space="0" w:color="auto"/>
            <w:right w:val="none" w:sz="0" w:space="0" w:color="auto"/>
          </w:divBdr>
        </w:div>
        <w:div w:id="592394012">
          <w:marLeft w:val="0"/>
          <w:marRight w:val="0"/>
          <w:marTop w:val="0"/>
          <w:marBottom w:val="0"/>
          <w:divBdr>
            <w:top w:val="none" w:sz="0" w:space="0" w:color="auto"/>
            <w:left w:val="none" w:sz="0" w:space="0" w:color="auto"/>
            <w:bottom w:val="none" w:sz="0" w:space="0" w:color="auto"/>
            <w:right w:val="none" w:sz="0" w:space="0" w:color="auto"/>
          </w:divBdr>
        </w:div>
        <w:div w:id="901209356">
          <w:marLeft w:val="0"/>
          <w:marRight w:val="0"/>
          <w:marTop w:val="0"/>
          <w:marBottom w:val="0"/>
          <w:divBdr>
            <w:top w:val="none" w:sz="0" w:space="0" w:color="auto"/>
            <w:left w:val="none" w:sz="0" w:space="0" w:color="auto"/>
            <w:bottom w:val="none" w:sz="0" w:space="0" w:color="auto"/>
            <w:right w:val="none" w:sz="0" w:space="0" w:color="auto"/>
          </w:divBdr>
        </w:div>
        <w:div w:id="913318426">
          <w:marLeft w:val="0"/>
          <w:marRight w:val="0"/>
          <w:marTop w:val="0"/>
          <w:marBottom w:val="0"/>
          <w:divBdr>
            <w:top w:val="none" w:sz="0" w:space="0" w:color="auto"/>
            <w:left w:val="none" w:sz="0" w:space="0" w:color="auto"/>
            <w:bottom w:val="none" w:sz="0" w:space="0" w:color="auto"/>
            <w:right w:val="none" w:sz="0" w:space="0" w:color="auto"/>
          </w:divBdr>
        </w:div>
        <w:div w:id="964967575">
          <w:marLeft w:val="0"/>
          <w:marRight w:val="0"/>
          <w:marTop w:val="0"/>
          <w:marBottom w:val="0"/>
          <w:divBdr>
            <w:top w:val="none" w:sz="0" w:space="0" w:color="auto"/>
            <w:left w:val="none" w:sz="0" w:space="0" w:color="auto"/>
            <w:bottom w:val="none" w:sz="0" w:space="0" w:color="auto"/>
            <w:right w:val="none" w:sz="0" w:space="0" w:color="auto"/>
          </w:divBdr>
        </w:div>
        <w:div w:id="1001346772">
          <w:marLeft w:val="0"/>
          <w:marRight w:val="0"/>
          <w:marTop w:val="0"/>
          <w:marBottom w:val="0"/>
          <w:divBdr>
            <w:top w:val="none" w:sz="0" w:space="0" w:color="auto"/>
            <w:left w:val="none" w:sz="0" w:space="0" w:color="auto"/>
            <w:bottom w:val="none" w:sz="0" w:space="0" w:color="auto"/>
            <w:right w:val="none" w:sz="0" w:space="0" w:color="auto"/>
          </w:divBdr>
        </w:div>
        <w:div w:id="1009679589">
          <w:marLeft w:val="0"/>
          <w:marRight w:val="0"/>
          <w:marTop w:val="0"/>
          <w:marBottom w:val="0"/>
          <w:divBdr>
            <w:top w:val="none" w:sz="0" w:space="0" w:color="auto"/>
            <w:left w:val="none" w:sz="0" w:space="0" w:color="auto"/>
            <w:bottom w:val="none" w:sz="0" w:space="0" w:color="auto"/>
            <w:right w:val="none" w:sz="0" w:space="0" w:color="auto"/>
          </w:divBdr>
        </w:div>
        <w:div w:id="1044674571">
          <w:marLeft w:val="0"/>
          <w:marRight w:val="0"/>
          <w:marTop w:val="0"/>
          <w:marBottom w:val="0"/>
          <w:divBdr>
            <w:top w:val="none" w:sz="0" w:space="0" w:color="auto"/>
            <w:left w:val="none" w:sz="0" w:space="0" w:color="auto"/>
            <w:bottom w:val="none" w:sz="0" w:space="0" w:color="auto"/>
            <w:right w:val="none" w:sz="0" w:space="0" w:color="auto"/>
          </w:divBdr>
        </w:div>
        <w:div w:id="1054695625">
          <w:marLeft w:val="0"/>
          <w:marRight w:val="0"/>
          <w:marTop w:val="0"/>
          <w:marBottom w:val="0"/>
          <w:divBdr>
            <w:top w:val="none" w:sz="0" w:space="0" w:color="auto"/>
            <w:left w:val="none" w:sz="0" w:space="0" w:color="auto"/>
            <w:bottom w:val="none" w:sz="0" w:space="0" w:color="auto"/>
            <w:right w:val="none" w:sz="0" w:space="0" w:color="auto"/>
          </w:divBdr>
          <w:divsChild>
            <w:div w:id="6292508">
              <w:marLeft w:val="0"/>
              <w:marRight w:val="0"/>
              <w:marTop w:val="0"/>
              <w:marBottom w:val="0"/>
              <w:divBdr>
                <w:top w:val="none" w:sz="0" w:space="0" w:color="auto"/>
                <w:left w:val="none" w:sz="0" w:space="0" w:color="auto"/>
                <w:bottom w:val="none" w:sz="0" w:space="0" w:color="auto"/>
                <w:right w:val="none" w:sz="0" w:space="0" w:color="auto"/>
              </w:divBdr>
            </w:div>
            <w:div w:id="114450075">
              <w:marLeft w:val="0"/>
              <w:marRight w:val="0"/>
              <w:marTop w:val="0"/>
              <w:marBottom w:val="0"/>
              <w:divBdr>
                <w:top w:val="none" w:sz="0" w:space="0" w:color="auto"/>
                <w:left w:val="none" w:sz="0" w:space="0" w:color="auto"/>
                <w:bottom w:val="none" w:sz="0" w:space="0" w:color="auto"/>
                <w:right w:val="none" w:sz="0" w:space="0" w:color="auto"/>
              </w:divBdr>
            </w:div>
            <w:div w:id="186330365">
              <w:marLeft w:val="0"/>
              <w:marRight w:val="0"/>
              <w:marTop w:val="0"/>
              <w:marBottom w:val="0"/>
              <w:divBdr>
                <w:top w:val="none" w:sz="0" w:space="0" w:color="auto"/>
                <w:left w:val="none" w:sz="0" w:space="0" w:color="auto"/>
                <w:bottom w:val="none" w:sz="0" w:space="0" w:color="auto"/>
                <w:right w:val="none" w:sz="0" w:space="0" w:color="auto"/>
              </w:divBdr>
            </w:div>
            <w:div w:id="482964396">
              <w:marLeft w:val="0"/>
              <w:marRight w:val="0"/>
              <w:marTop w:val="0"/>
              <w:marBottom w:val="0"/>
              <w:divBdr>
                <w:top w:val="none" w:sz="0" w:space="0" w:color="auto"/>
                <w:left w:val="none" w:sz="0" w:space="0" w:color="auto"/>
                <w:bottom w:val="none" w:sz="0" w:space="0" w:color="auto"/>
                <w:right w:val="none" w:sz="0" w:space="0" w:color="auto"/>
              </w:divBdr>
            </w:div>
            <w:div w:id="501242359">
              <w:marLeft w:val="0"/>
              <w:marRight w:val="0"/>
              <w:marTop w:val="0"/>
              <w:marBottom w:val="0"/>
              <w:divBdr>
                <w:top w:val="none" w:sz="0" w:space="0" w:color="auto"/>
                <w:left w:val="none" w:sz="0" w:space="0" w:color="auto"/>
                <w:bottom w:val="none" w:sz="0" w:space="0" w:color="auto"/>
                <w:right w:val="none" w:sz="0" w:space="0" w:color="auto"/>
              </w:divBdr>
            </w:div>
            <w:div w:id="554462970">
              <w:marLeft w:val="0"/>
              <w:marRight w:val="0"/>
              <w:marTop w:val="0"/>
              <w:marBottom w:val="0"/>
              <w:divBdr>
                <w:top w:val="none" w:sz="0" w:space="0" w:color="auto"/>
                <w:left w:val="none" w:sz="0" w:space="0" w:color="auto"/>
                <w:bottom w:val="none" w:sz="0" w:space="0" w:color="auto"/>
                <w:right w:val="none" w:sz="0" w:space="0" w:color="auto"/>
              </w:divBdr>
            </w:div>
            <w:div w:id="564145492">
              <w:marLeft w:val="0"/>
              <w:marRight w:val="0"/>
              <w:marTop w:val="0"/>
              <w:marBottom w:val="0"/>
              <w:divBdr>
                <w:top w:val="none" w:sz="0" w:space="0" w:color="auto"/>
                <w:left w:val="none" w:sz="0" w:space="0" w:color="auto"/>
                <w:bottom w:val="none" w:sz="0" w:space="0" w:color="auto"/>
                <w:right w:val="none" w:sz="0" w:space="0" w:color="auto"/>
              </w:divBdr>
            </w:div>
            <w:div w:id="616259305">
              <w:marLeft w:val="0"/>
              <w:marRight w:val="0"/>
              <w:marTop w:val="0"/>
              <w:marBottom w:val="0"/>
              <w:divBdr>
                <w:top w:val="none" w:sz="0" w:space="0" w:color="auto"/>
                <w:left w:val="none" w:sz="0" w:space="0" w:color="auto"/>
                <w:bottom w:val="none" w:sz="0" w:space="0" w:color="auto"/>
                <w:right w:val="none" w:sz="0" w:space="0" w:color="auto"/>
              </w:divBdr>
            </w:div>
            <w:div w:id="775053360">
              <w:marLeft w:val="0"/>
              <w:marRight w:val="0"/>
              <w:marTop w:val="0"/>
              <w:marBottom w:val="0"/>
              <w:divBdr>
                <w:top w:val="none" w:sz="0" w:space="0" w:color="auto"/>
                <w:left w:val="none" w:sz="0" w:space="0" w:color="auto"/>
                <w:bottom w:val="none" w:sz="0" w:space="0" w:color="auto"/>
                <w:right w:val="none" w:sz="0" w:space="0" w:color="auto"/>
              </w:divBdr>
            </w:div>
            <w:div w:id="884413141">
              <w:marLeft w:val="0"/>
              <w:marRight w:val="0"/>
              <w:marTop w:val="0"/>
              <w:marBottom w:val="0"/>
              <w:divBdr>
                <w:top w:val="none" w:sz="0" w:space="0" w:color="auto"/>
                <w:left w:val="none" w:sz="0" w:space="0" w:color="auto"/>
                <w:bottom w:val="none" w:sz="0" w:space="0" w:color="auto"/>
                <w:right w:val="none" w:sz="0" w:space="0" w:color="auto"/>
              </w:divBdr>
            </w:div>
            <w:div w:id="1070887215">
              <w:marLeft w:val="0"/>
              <w:marRight w:val="0"/>
              <w:marTop w:val="0"/>
              <w:marBottom w:val="0"/>
              <w:divBdr>
                <w:top w:val="none" w:sz="0" w:space="0" w:color="auto"/>
                <w:left w:val="none" w:sz="0" w:space="0" w:color="auto"/>
                <w:bottom w:val="none" w:sz="0" w:space="0" w:color="auto"/>
                <w:right w:val="none" w:sz="0" w:space="0" w:color="auto"/>
              </w:divBdr>
            </w:div>
            <w:div w:id="1073042241">
              <w:marLeft w:val="0"/>
              <w:marRight w:val="0"/>
              <w:marTop w:val="0"/>
              <w:marBottom w:val="0"/>
              <w:divBdr>
                <w:top w:val="none" w:sz="0" w:space="0" w:color="auto"/>
                <w:left w:val="none" w:sz="0" w:space="0" w:color="auto"/>
                <w:bottom w:val="none" w:sz="0" w:space="0" w:color="auto"/>
                <w:right w:val="none" w:sz="0" w:space="0" w:color="auto"/>
              </w:divBdr>
            </w:div>
            <w:div w:id="1279289880">
              <w:marLeft w:val="0"/>
              <w:marRight w:val="0"/>
              <w:marTop w:val="0"/>
              <w:marBottom w:val="0"/>
              <w:divBdr>
                <w:top w:val="none" w:sz="0" w:space="0" w:color="auto"/>
                <w:left w:val="none" w:sz="0" w:space="0" w:color="auto"/>
                <w:bottom w:val="none" w:sz="0" w:space="0" w:color="auto"/>
                <w:right w:val="none" w:sz="0" w:space="0" w:color="auto"/>
              </w:divBdr>
            </w:div>
            <w:div w:id="1350181045">
              <w:marLeft w:val="0"/>
              <w:marRight w:val="0"/>
              <w:marTop w:val="0"/>
              <w:marBottom w:val="0"/>
              <w:divBdr>
                <w:top w:val="none" w:sz="0" w:space="0" w:color="auto"/>
                <w:left w:val="none" w:sz="0" w:space="0" w:color="auto"/>
                <w:bottom w:val="none" w:sz="0" w:space="0" w:color="auto"/>
                <w:right w:val="none" w:sz="0" w:space="0" w:color="auto"/>
              </w:divBdr>
            </w:div>
            <w:div w:id="1536195046">
              <w:marLeft w:val="0"/>
              <w:marRight w:val="0"/>
              <w:marTop w:val="0"/>
              <w:marBottom w:val="0"/>
              <w:divBdr>
                <w:top w:val="none" w:sz="0" w:space="0" w:color="auto"/>
                <w:left w:val="none" w:sz="0" w:space="0" w:color="auto"/>
                <w:bottom w:val="none" w:sz="0" w:space="0" w:color="auto"/>
                <w:right w:val="none" w:sz="0" w:space="0" w:color="auto"/>
              </w:divBdr>
            </w:div>
            <w:div w:id="1874346494">
              <w:marLeft w:val="0"/>
              <w:marRight w:val="0"/>
              <w:marTop w:val="0"/>
              <w:marBottom w:val="0"/>
              <w:divBdr>
                <w:top w:val="none" w:sz="0" w:space="0" w:color="auto"/>
                <w:left w:val="none" w:sz="0" w:space="0" w:color="auto"/>
                <w:bottom w:val="none" w:sz="0" w:space="0" w:color="auto"/>
                <w:right w:val="none" w:sz="0" w:space="0" w:color="auto"/>
              </w:divBdr>
            </w:div>
            <w:div w:id="1924756833">
              <w:marLeft w:val="0"/>
              <w:marRight w:val="0"/>
              <w:marTop w:val="0"/>
              <w:marBottom w:val="0"/>
              <w:divBdr>
                <w:top w:val="none" w:sz="0" w:space="0" w:color="auto"/>
                <w:left w:val="none" w:sz="0" w:space="0" w:color="auto"/>
                <w:bottom w:val="none" w:sz="0" w:space="0" w:color="auto"/>
                <w:right w:val="none" w:sz="0" w:space="0" w:color="auto"/>
              </w:divBdr>
            </w:div>
            <w:div w:id="2030179211">
              <w:marLeft w:val="0"/>
              <w:marRight w:val="0"/>
              <w:marTop w:val="0"/>
              <w:marBottom w:val="0"/>
              <w:divBdr>
                <w:top w:val="none" w:sz="0" w:space="0" w:color="auto"/>
                <w:left w:val="none" w:sz="0" w:space="0" w:color="auto"/>
                <w:bottom w:val="none" w:sz="0" w:space="0" w:color="auto"/>
                <w:right w:val="none" w:sz="0" w:space="0" w:color="auto"/>
              </w:divBdr>
            </w:div>
            <w:div w:id="2059356134">
              <w:marLeft w:val="0"/>
              <w:marRight w:val="0"/>
              <w:marTop w:val="0"/>
              <w:marBottom w:val="0"/>
              <w:divBdr>
                <w:top w:val="none" w:sz="0" w:space="0" w:color="auto"/>
                <w:left w:val="none" w:sz="0" w:space="0" w:color="auto"/>
                <w:bottom w:val="none" w:sz="0" w:space="0" w:color="auto"/>
                <w:right w:val="none" w:sz="0" w:space="0" w:color="auto"/>
              </w:divBdr>
            </w:div>
            <w:div w:id="2086103963">
              <w:marLeft w:val="0"/>
              <w:marRight w:val="0"/>
              <w:marTop w:val="0"/>
              <w:marBottom w:val="0"/>
              <w:divBdr>
                <w:top w:val="none" w:sz="0" w:space="0" w:color="auto"/>
                <w:left w:val="none" w:sz="0" w:space="0" w:color="auto"/>
                <w:bottom w:val="none" w:sz="0" w:space="0" w:color="auto"/>
                <w:right w:val="none" w:sz="0" w:space="0" w:color="auto"/>
              </w:divBdr>
            </w:div>
          </w:divsChild>
        </w:div>
        <w:div w:id="1057508385">
          <w:marLeft w:val="0"/>
          <w:marRight w:val="0"/>
          <w:marTop w:val="0"/>
          <w:marBottom w:val="0"/>
          <w:divBdr>
            <w:top w:val="none" w:sz="0" w:space="0" w:color="auto"/>
            <w:left w:val="none" w:sz="0" w:space="0" w:color="auto"/>
            <w:bottom w:val="none" w:sz="0" w:space="0" w:color="auto"/>
            <w:right w:val="none" w:sz="0" w:space="0" w:color="auto"/>
          </w:divBdr>
        </w:div>
        <w:div w:id="1064336041">
          <w:marLeft w:val="0"/>
          <w:marRight w:val="0"/>
          <w:marTop w:val="0"/>
          <w:marBottom w:val="0"/>
          <w:divBdr>
            <w:top w:val="none" w:sz="0" w:space="0" w:color="auto"/>
            <w:left w:val="none" w:sz="0" w:space="0" w:color="auto"/>
            <w:bottom w:val="none" w:sz="0" w:space="0" w:color="auto"/>
            <w:right w:val="none" w:sz="0" w:space="0" w:color="auto"/>
          </w:divBdr>
        </w:div>
        <w:div w:id="1166747215">
          <w:marLeft w:val="0"/>
          <w:marRight w:val="0"/>
          <w:marTop w:val="0"/>
          <w:marBottom w:val="0"/>
          <w:divBdr>
            <w:top w:val="none" w:sz="0" w:space="0" w:color="auto"/>
            <w:left w:val="none" w:sz="0" w:space="0" w:color="auto"/>
            <w:bottom w:val="none" w:sz="0" w:space="0" w:color="auto"/>
            <w:right w:val="none" w:sz="0" w:space="0" w:color="auto"/>
          </w:divBdr>
        </w:div>
        <w:div w:id="1203833781">
          <w:marLeft w:val="0"/>
          <w:marRight w:val="0"/>
          <w:marTop w:val="0"/>
          <w:marBottom w:val="0"/>
          <w:divBdr>
            <w:top w:val="none" w:sz="0" w:space="0" w:color="auto"/>
            <w:left w:val="none" w:sz="0" w:space="0" w:color="auto"/>
            <w:bottom w:val="none" w:sz="0" w:space="0" w:color="auto"/>
            <w:right w:val="none" w:sz="0" w:space="0" w:color="auto"/>
          </w:divBdr>
        </w:div>
        <w:div w:id="1297832094">
          <w:marLeft w:val="0"/>
          <w:marRight w:val="0"/>
          <w:marTop w:val="0"/>
          <w:marBottom w:val="0"/>
          <w:divBdr>
            <w:top w:val="none" w:sz="0" w:space="0" w:color="auto"/>
            <w:left w:val="none" w:sz="0" w:space="0" w:color="auto"/>
            <w:bottom w:val="none" w:sz="0" w:space="0" w:color="auto"/>
            <w:right w:val="none" w:sz="0" w:space="0" w:color="auto"/>
          </w:divBdr>
        </w:div>
        <w:div w:id="1344093865">
          <w:marLeft w:val="0"/>
          <w:marRight w:val="0"/>
          <w:marTop w:val="0"/>
          <w:marBottom w:val="0"/>
          <w:divBdr>
            <w:top w:val="none" w:sz="0" w:space="0" w:color="auto"/>
            <w:left w:val="none" w:sz="0" w:space="0" w:color="auto"/>
            <w:bottom w:val="none" w:sz="0" w:space="0" w:color="auto"/>
            <w:right w:val="none" w:sz="0" w:space="0" w:color="auto"/>
          </w:divBdr>
        </w:div>
        <w:div w:id="1353148261">
          <w:marLeft w:val="0"/>
          <w:marRight w:val="0"/>
          <w:marTop w:val="0"/>
          <w:marBottom w:val="0"/>
          <w:divBdr>
            <w:top w:val="none" w:sz="0" w:space="0" w:color="auto"/>
            <w:left w:val="none" w:sz="0" w:space="0" w:color="auto"/>
            <w:bottom w:val="none" w:sz="0" w:space="0" w:color="auto"/>
            <w:right w:val="none" w:sz="0" w:space="0" w:color="auto"/>
          </w:divBdr>
        </w:div>
        <w:div w:id="1482113724">
          <w:marLeft w:val="0"/>
          <w:marRight w:val="0"/>
          <w:marTop w:val="0"/>
          <w:marBottom w:val="0"/>
          <w:divBdr>
            <w:top w:val="none" w:sz="0" w:space="0" w:color="auto"/>
            <w:left w:val="none" w:sz="0" w:space="0" w:color="auto"/>
            <w:bottom w:val="none" w:sz="0" w:space="0" w:color="auto"/>
            <w:right w:val="none" w:sz="0" w:space="0" w:color="auto"/>
          </w:divBdr>
        </w:div>
        <w:div w:id="1656641998">
          <w:marLeft w:val="0"/>
          <w:marRight w:val="0"/>
          <w:marTop w:val="0"/>
          <w:marBottom w:val="0"/>
          <w:divBdr>
            <w:top w:val="none" w:sz="0" w:space="0" w:color="auto"/>
            <w:left w:val="none" w:sz="0" w:space="0" w:color="auto"/>
            <w:bottom w:val="none" w:sz="0" w:space="0" w:color="auto"/>
            <w:right w:val="none" w:sz="0" w:space="0" w:color="auto"/>
          </w:divBdr>
        </w:div>
        <w:div w:id="1702247811">
          <w:marLeft w:val="0"/>
          <w:marRight w:val="0"/>
          <w:marTop w:val="0"/>
          <w:marBottom w:val="0"/>
          <w:divBdr>
            <w:top w:val="none" w:sz="0" w:space="0" w:color="auto"/>
            <w:left w:val="none" w:sz="0" w:space="0" w:color="auto"/>
            <w:bottom w:val="none" w:sz="0" w:space="0" w:color="auto"/>
            <w:right w:val="none" w:sz="0" w:space="0" w:color="auto"/>
          </w:divBdr>
        </w:div>
        <w:div w:id="1791244388">
          <w:marLeft w:val="0"/>
          <w:marRight w:val="0"/>
          <w:marTop w:val="0"/>
          <w:marBottom w:val="0"/>
          <w:divBdr>
            <w:top w:val="none" w:sz="0" w:space="0" w:color="auto"/>
            <w:left w:val="none" w:sz="0" w:space="0" w:color="auto"/>
            <w:bottom w:val="none" w:sz="0" w:space="0" w:color="auto"/>
            <w:right w:val="none" w:sz="0" w:space="0" w:color="auto"/>
          </w:divBdr>
        </w:div>
        <w:div w:id="1958221423">
          <w:marLeft w:val="0"/>
          <w:marRight w:val="0"/>
          <w:marTop w:val="0"/>
          <w:marBottom w:val="0"/>
          <w:divBdr>
            <w:top w:val="none" w:sz="0" w:space="0" w:color="auto"/>
            <w:left w:val="none" w:sz="0" w:space="0" w:color="auto"/>
            <w:bottom w:val="none" w:sz="0" w:space="0" w:color="auto"/>
            <w:right w:val="none" w:sz="0" w:space="0" w:color="auto"/>
          </w:divBdr>
        </w:div>
        <w:div w:id="1974748486">
          <w:marLeft w:val="0"/>
          <w:marRight w:val="0"/>
          <w:marTop w:val="0"/>
          <w:marBottom w:val="0"/>
          <w:divBdr>
            <w:top w:val="none" w:sz="0" w:space="0" w:color="auto"/>
            <w:left w:val="none" w:sz="0" w:space="0" w:color="auto"/>
            <w:bottom w:val="none" w:sz="0" w:space="0" w:color="auto"/>
            <w:right w:val="none" w:sz="0" w:space="0" w:color="auto"/>
          </w:divBdr>
        </w:div>
        <w:div w:id="2029212748">
          <w:marLeft w:val="0"/>
          <w:marRight w:val="0"/>
          <w:marTop w:val="0"/>
          <w:marBottom w:val="0"/>
          <w:divBdr>
            <w:top w:val="none" w:sz="0" w:space="0" w:color="auto"/>
            <w:left w:val="none" w:sz="0" w:space="0" w:color="auto"/>
            <w:bottom w:val="none" w:sz="0" w:space="0" w:color="auto"/>
            <w:right w:val="none" w:sz="0" w:space="0" w:color="auto"/>
          </w:divBdr>
        </w:div>
        <w:div w:id="2123039172">
          <w:marLeft w:val="0"/>
          <w:marRight w:val="0"/>
          <w:marTop w:val="0"/>
          <w:marBottom w:val="0"/>
          <w:divBdr>
            <w:top w:val="none" w:sz="0" w:space="0" w:color="auto"/>
            <w:left w:val="none" w:sz="0" w:space="0" w:color="auto"/>
            <w:bottom w:val="none" w:sz="0" w:space="0" w:color="auto"/>
            <w:right w:val="none" w:sz="0" w:space="0" w:color="auto"/>
          </w:divBdr>
        </w:div>
      </w:divsChild>
    </w:div>
    <w:div w:id="796753540">
      <w:bodyDiv w:val="1"/>
      <w:marLeft w:val="0"/>
      <w:marRight w:val="0"/>
      <w:marTop w:val="0"/>
      <w:marBottom w:val="0"/>
      <w:divBdr>
        <w:top w:val="none" w:sz="0" w:space="0" w:color="auto"/>
        <w:left w:val="none" w:sz="0" w:space="0" w:color="auto"/>
        <w:bottom w:val="none" w:sz="0" w:space="0" w:color="auto"/>
        <w:right w:val="none" w:sz="0" w:space="0" w:color="auto"/>
      </w:divBdr>
      <w:divsChild>
        <w:div w:id="1374229737">
          <w:marLeft w:val="0"/>
          <w:marRight w:val="0"/>
          <w:marTop w:val="0"/>
          <w:marBottom w:val="0"/>
          <w:divBdr>
            <w:top w:val="none" w:sz="0" w:space="0" w:color="auto"/>
            <w:left w:val="none" w:sz="0" w:space="0" w:color="auto"/>
            <w:bottom w:val="none" w:sz="0" w:space="0" w:color="auto"/>
            <w:right w:val="none" w:sz="0" w:space="0" w:color="auto"/>
          </w:divBdr>
          <w:divsChild>
            <w:div w:id="1719086469">
              <w:marLeft w:val="0"/>
              <w:marRight w:val="0"/>
              <w:marTop w:val="0"/>
              <w:marBottom w:val="0"/>
              <w:divBdr>
                <w:top w:val="none" w:sz="0" w:space="0" w:color="auto"/>
                <w:left w:val="none" w:sz="0" w:space="0" w:color="auto"/>
                <w:bottom w:val="none" w:sz="0" w:space="0" w:color="auto"/>
                <w:right w:val="none" w:sz="0" w:space="0" w:color="auto"/>
              </w:divBdr>
              <w:divsChild>
                <w:div w:id="1464692726">
                  <w:marLeft w:val="0"/>
                  <w:marRight w:val="0"/>
                  <w:marTop w:val="0"/>
                  <w:marBottom w:val="0"/>
                  <w:divBdr>
                    <w:top w:val="none" w:sz="0" w:space="0" w:color="auto"/>
                    <w:left w:val="none" w:sz="0" w:space="0" w:color="auto"/>
                    <w:bottom w:val="none" w:sz="0" w:space="0" w:color="auto"/>
                    <w:right w:val="none" w:sz="0" w:space="0" w:color="auto"/>
                  </w:divBdr>
                  <w:divsChild>
                    <w:div w:id="17686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88127">
      <w:bodyDiv w:val="1"/>
      <w:marLeft w:val="0"/>
      <w:marRight w:val="0"/>
      <w:marTop w:val="0"/>
      <w:marBottom w:val="0"/>
      <w:divBdr>
        <w:top w:val="none" w:sz="0" w:space="0" w:color="auto"/>
        <w:left w:val="none" w:sz="0" w:space="0" w:color="auto"/>
        <w:bottom w:val="none" w:sz="0" w:space="0" w:color="auto"/>
        <w:right w:val="none" w:sz="0" w:space="0" w:color="auto"/>
      </w:divBdr>
      <w:divsChild>
        <w:div w:id="412551203">
          <w:marLeft w:val="0"/>
          <w:marRight w:val="0"/>
          <w:marTop w:val="0"/>
          <w:marBottom w:val="0"/>
          <w:divBdr>
            <w:top w:val="none" w:sz="0" w:space="0" w:color="auto"/>
            <w:left w:val="none" w:sz="0" w:space="0" w:color="auto"/>
            <w:bottom w:val="none" w:sz="0" w:space="0" w:color="auto"/>
            <w:right w:val="none" w:sz="0" w:space="0" w:color="auto"/>
          </w:divBdr>
          <w:divsChild>
            <w:div w:id="294599531">
              <w:marLeft w:val="0"/>
              <w:marRight w:val="0"/>
              <w:marTop w:val="0"/>
              <w:marBottom w:val="0"/>
              <w:divBdr>
                <w:top w:val="none" w:sz="0" w:space="0" w:color="auto"/>
                <w:left w:val="none" w:sz="0" w:space="0" w:color="auto"/>
                <w:bottom w:val="none" w:sz="0" w:space="0" w:color="auto"/>
                <w:right w:val="none" w:sz="0" w:space="0" w:color="auto"/>
              </w:divBdr>
              <w:divsChild>
                <w:div w:id="17869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79054">
      <w:bodyDiv w:val="1"/>
      <w:marLeft w:val="0"/>
      <w:marRight w:val="0"/>
      <w:marTop w:val="0"/>
      <w:marBottom w:val="0"/>
      <w:divBdr>
        <w:top w:val="none" w:sz="0" w:space="0" w:color="auto"/>
        <w:left w:val="none" w:sz="0" w:space="0" w:color="auto"/>
        <w:bottom w:val="none" w:sz="0" w:space="0" w:color="auto"/>
        <w:right w:val="none" w:sz="0" w:space="0" w:color="auto"/>
      </w:divBdr>
      <w:divsChild>
        <w:div w:id="539902081">
          <w:marLeft w:val="0"/>
          <w:marRight w:val="0"/>
          <w:marTop w:val="0"/>
          <w:marBottom w:val="0"/>
          <w:divBdr>
            <w:top w:val="none" w:sz="0" w:space="0" w:color="auto"/>
            <w:left w:val="none" w:sz="0" w:space="0" w:color="auto"/>
            <w:bottom w:val="none" w:sz="0" w:space="0" w:color="auto"/>
            <w:right w:val="none" w:sz="0" w:space="0" w:color="auto"/>
          </w:divBdr>
          <w:divsChild>
            <w:div w:id="101532027">
              <w:marLeft w:val="0"/>
              <w:marRight w:val="0"/>
              <w:marTop w:val="0"/>
              <w:marBottom w:val="0"/>
              <w:divBdr>
                <w:top w:val="none" w:sz="0" w:space="0" w:color="auto"/>
                <w:left w:val="none" w:sz="0" w:space="0" w:color="auto"/>
                <w:bottom w:val="none" w:sz="0" w:space="0" w:color="auto"/>
                <w:right w:val="none" w:sz="0" w:space="0" w:color="auto"/>
              </w:divBdr>
              <w:divsChild>
                <w:div w:id="2126265949">
                  <w:marLeft w:val="0"/>
                  <w:marRight w:val="0"/>
                  <w:marTop w:val="0"/>
                  <w:marBottom w:val="0"/>
                  <w:divBdr>
                    <w:top w:val="none" w:sz="0" w:space="0" w:color="auto"/>
                    <w:left w:val="none" w:sz="0" w:space="0" w:color="auto"/>
                    <w:bottom w:val="none" w:sz="0" w:space="0" w:color="auto"/>
                    <w:right w:val="none" w:sz="0" w:space="0" w:color="auto"/>
                  </w:divBdr>
                  <w:divsChild>
                    <w:div w:id="13866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23081">
      <w:bodyDiv w:val="1"/>
      <w:marLeft w:val="0"/>
      <w:marRight w:val="0"/>
      <w:marTop w:val="0"/>
      <w:marBottom w:val="0"/>
      <w:divBdr>
        <w:top w:val="none" w:sz="0" w:space="0" w:color="auto"/>
        <w:left w:val="none" w:sz="0" w:space="0" w:color="auto"/>
        <w:bottom w:val="none" w:sz="0" w:space="0" w:color="auto"/>
        <w:right w:val="none" w:sz="0" w:space="0" w:color="auto"/>
      </w:divBdr>
      <w:divsChild>
        <w:div w:id="1280913136">
          <w:marLeft w:val="0"/>
          <w:marRight w:val="0"/>
          <w:marTop w:val="0"/>
          <w:marBottom w:val="0"/>
          <w:divBdr>
            <w:top w:val="none" w:sz="0" w:space="0" w:color="auto"/>
            <w:left w:val="none" w:sz="0" w:space="0" w:color="auto"/>
            <w:bottom w:val="none" w:sz="0" w:space="0" w:color="auto"/>
            <w:right w:val="none" w:sz="0" w:space="0" w:color="auto"/>
          </w:divBdr>
          <w:divsChild>
            <w:div w:id="1736195452">
              <w:marLeft w:val="0"/>
              <w:marRight w:val="0"/>
              <w:marTop w:val="0"/>
              <w:marBottom w:val="0"/>
              <w:divBdr>
                <w:top w:val="none" w:sz="0" w:space="0" w:color="auto"/>
                <w:left w:val="none" w:sz="0" w:space="0" w:color="auto"/>
                <w:bottom w:val="none" w:sz="0" w:space="0" w:color="auto"/>
                <w:right w:val="none" w:sz="0" w:space="0" w:color="auto"/>
              </w:divBdr>
              <w:divsChild>
                <w:div w:id="5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5555">
      <w:bodyDiv w:val="1"/>
      <w:marLeft w:val="0"/>
      <w:marRight w:val="0"/>
      <w:marTop w:val="0"/>
      <w:marBottom w:val="0"/>
      <w:divBdr>
        <w:top w:val="none" w:sz="0" w:space="0" w:color="auto"/>
        <w:left w:val="none" w:sz="0" w:space="0" w:color="auto"/>
        <w:bottom w:val="none" w:sz="0" w:space="0" w:color="auto"/>
        <w:right w:val="none" w:sz="0" w:space="0" w:color="auto"/>
      </w:divBdr>
      <w:divsChild>
        <w:div w:id="399719793">
          <w:marLeft w:val="0"/>
          <w:marRight w:val="0"/>
          <w:marTop w:val="0"/>
          <w:marBottom w:val="0"/>
          <w:divBdr>
            <w:top w:val="none" w:sz="0" w:space="0" w:color="auto"/>
            <w:left w:val="none" w:sz="0" w:space="0" w:color="auto"/>
            <w:bottom w:val="none" w:sz="0" w:space="0" w:color="auto"/>
            <w:right w:val="none" w:sz="0" w:space="0" w:color="auto"/>
          </w:divBdr>
          <w:divsChild>
            <w:div w:id="1982540884">
              <w:marLeft w:val="0"/>
              <w:marRight w:val="0"/>
              <w:marTop w:val="0"/>
              <w:marBottom w:val="0"/>
              <w:divBdr>
                <w:top w:val="none" w:sz="0" w:space="0" w:color="auto"/>
                <w:left w:val="none" w:sz="0" w:space="0" w:color="auto"/>
                <w:bottom w:val="none" w:sz="0" w:space="0" w:color="auto"/>
                <w:right w:val="none" w:sz="0" w:space="0" w:color="auto"/>
              </w:divBdr>
              <w:divsChild>
                <w:div w:id="1305544160">
                  <w:marLeft w:val="0"/>
                  <w:marRight w:val="0"/>
                  <w:marTop w:val="0"/>
                  <w:marBottom w:val="0"/>
                  <w:divBdr>
                    <w:top w:val="none" w:sz="0" w:space="0" w:color="auto"/>
                    <w:left w:val="none" w:sz="0" w:space="0" w:color="auto"/>
                    <w:bottom w:val="none" w:sz="0" w:space="0" w:color="auto"/>
                    <w:right w:val="none" w:sz="0" w:space="0" w:color="auto"/>
                  </w:divBdr>
                  <w:divsChild>
                    <w:div w:id="15611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4471">
      <w:bodyDiv w:val="1"/>
      <w:marLeft w:val="0"/>
      <w:marRight w:val="0"/>
      <w:marTop w:val="0"/>
      <w:marBottom w:val="0"/>
      <w:divBdr>
        <w:top w:val="none" w:sz="0" w:space="0" w:color="auto"/>
        <w:left w:val="none" w:sz="0" w:space="0" w:color="auto"/>
        <w:bottom w:val="none" w:sz="0" w:space="0" w:color="auto"/>
        <w:right w:val="none" w:sz="0" w:space="0" w:color="auto"/>
      </w:divBdr>
      <w:divsChild>
        <w:div w:id="385760268">
          <w:marLeft w:val="0"/>
          <w:marRight w:val="0"/>
          <w:marTop w:val="0"/>
          <w:marBottom w:val="0"/>
          <w:divBdr>
            <w:top w:val="none" w:sz="0" w:space="0" w:color="auto"/>
            <w:left w:val="none" w:sz="0" w:space="0" w:color="auto"/>
            <w:bottom w:val="none" w:sz="0" w:space="0" w:color="auto"/>
            <w:right w:val="none" w:sz="0" w:space="0" w:color="auto"/>
          </w:divBdr>
          <w:divsChild>
            <w:div w:id="1159734589">
              <w:marLeft w:val="0"/>
              <w:marRight w:val="0"/>
              <w:marTop w:val="0"/>
              <w:marBottom w:val="0"/>
              <w:divBdr>
                <w:top w:val="none" w:sz="0" w:space="0" w:color="auto"/>
                <w:left w:val="none" w:sz="0" w:space="0" w:color="auto"/>
                <w:bottom w:val="none" w:sz="0" w:space="0" w:color="auto"/>
                <w:right w:val="none" w:sz="0" w:space="0" w:color="auto"/>
              </w:divBdr>
              <w:divsChild>
                <w:div w:id="534582749">
                  <w:marLeft w:val="0"/>
                  <w:marRight w:val="0"/>
                  <w:marTop w:val="0"/>
                  <w:marBottom w:val="0"/>
                  <w:divBdr>
                    <w:top w:val="none" w:sz="0" w:space="0" w:color="auto"/>
                    <w:left w:val="none" w:sz="0" w:space="0" w:color="auto"/>
                    <w:bottom w:val="none" w:sz="0" w:space="0" w:color="auto"/>
                    <w:right w:val="none" w:sz="0" w:space="0" w:color="auto"/>
                  </w:divBdr>
                  <w:divsChild>
                    <w:div w:id="7989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4898">
      <w:bodyDiv w:val="1"/>
      <w:marLeft w:val="0"/>
      <w:marRight w:val="0"/>
      <w:marTop w:val="0"/>
      <w:marBottom w:val="0"/>
      <w:divBdr>
        <w:top w:val="none" w:sz="0" w:space="0" w:color="auto"/>
        <w:left w:val="none" w:sz="0" w:space="0" w:color="auto"/>
        <w:bottom w:val="none" w:sz="0" w:space="0" w:color="auto"/>
        <w:right w:val="none" w:sz="0" w:space="0" w:color="auto"/>
      </w:divBdr>
      <w:divsChild>
        <w:div w:id="1742831436">
          <w:marLeft w:val="0"/>
          <w:marRight w:val="0"/>
          <w:marTop w:val="0"/>
          <w:marBottom w:val="0"/>
          <w:divBdr>
            <w:top w:val="none" w:sz="0" w:space="0" w:color="auto"/>
            <w:left w:val="none" w:sz="0" w:space="0" w:color="auto"/>
            <w:bottom w:val="none" w:sz="0" w:space="0" w:color="auto"/>
            <w:right w:val="none" w:sz="0" w:space="0" w:color="auto"/>
          </w:divBdr>
          <w:divsChild>
            <w:div w:id="1705981705">
              <w:marLeft w:val="0"/>
              <w:marRight w:val="0"/>
              <w:marTop w:val="0"/>
              <w:marBottom w:val="0"/>
              <w:divBdr>
                <w:top w:val="none" w:sz="0" w:space="0" w:color="auto"/>
                <w:left w:val="none" w:sz="0" w:space="0" w:color="auto"/>
                <w:bottom w:val="none" w:sz="0" w:space="0" w:color="auto"/>
                <w:right w:val="none" w:sz="0" w:space="0" w:color="auto"/>
              </w:divBdr>
              <w:divsChild>
                <w:div w:id="973872864">
                  <w:marLeft w:val="0"/>
                  <w:marRight w:val="0"/>
                  <w:marTop w:val="0"/>
                  <w:marBottom w:val="0"/>
                  <w:divBdr>
                    <w:top w:val="none" w:sz="0" w:space="0" w:color="auto"/>
                    <w:left w:val="none" w:sz="0" w:space="0" w:color="auto"/>
                    <w:bottom w:val="none" w:sz="0" w:space="0" w:color="auto"/>
                    <w:right w:val="none" w:sz="0" w:space="0" w:color="auto"/>
                  </w:divBdr>
                  <w:divsChild>
                    <w:div w:id="1700472533">
                      <w:marLeft w:val="0"/>
                      <w:marRight w:val="0"/>
                      <w:marTop w:val="0"/>
                      <w:marBottom w:val="0"/>
                      <w:divBdr>
                        <w:top w:val="none" w:sz="0" w:space="0" w:color="auto"/>
                        <w:left w:val="none" w:sz="0" w:space="0" w:color="auto"/>
                        <w:bottom w:val="none" w:sz="0" w:space="0" w:color="auto"/>
                        <w:right w:val="none" w:sz="0" w:space="0" w:color="auto"/>
                      </w:divBdr>
                    </w:div>
                  </w:divsChild>
                </w:div>
                <w:div w:id="201331826">
                  <w:marLeft w:val="0"/>
                  <w:marRight w:val="0"/>
                  <w:marTop w:val="0"/>
                  <w:marBottom w:val="0"/>
                  <w:divBdr>
                    <w:top w:val="none" w:sz="0" w:space="0" w:color="auto"/>
                    <w:left w:val="none" w:sz="0" w:space="0" w:color="auto"/>
                    <w:bottom w:val="none" w:sz="0" w:space="0" w:color="auto"/>
                    <w:right w:val="none" w:sz="0" w:space="0" w:color="auto"/>
                  </w:divBdr>
                  <w:divsChild>
                    <w:div w:id="208630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318783">
      <w:bodyDiv w:val="1"/>
      <w:marLeft w:val="0"/>
      <w:marRight w:val="0"/>
      <w:marTop w:val="0"/>
      <w:marBottom w:val="0"/>
      <w:divBdr>
        <w:top w:val="none" w:sz="0" w:space="0" w:color="auto"/>
        <w:left w:val="none" w:sz="0" w:space="0" w:color="auto"/>
        <w:bottom w:val="none" w:sz="0" w:space="0" w:color="auto"/>
        <w:right w:val="none" w:sz="0" w:space="0" w:color="auto"/>
      </w:divBdr>
      <w:divsChild>
        <w:div w:id="1707366428">
          <w:marLeft w:val="0"/>
          <w:marRight w:val="0"/>
          <w:marTop w:val="0"/>
          <w:marBottom w:val="0"/>
          <w:divBdr>
            <w:top w:val="none" w:sz="0" w:space="0" w:color="auto"/>
            <w:left w:val="none" w:sz="0" w:space="0" w:color="auto"/>
            <w:bottom w:val="none" w:sz="0" w:space="0" w:color="auto"/>
            <w:right w:val="none" w:sz="0" w:space="0" w:color="auto"/>
          </w:divBdr>
          <w:divsChild>
            <w:div w:id="319386715">
              <w:marLeft w:val="0"/>
              <w:marRight w:val="0"/>
              <w:marTop w:val="0"/>
              <w:marBottom w:val="0"/>
              <w:divBdr>
                <w:top w:val="none" w:sz="0" w:space="0" w:color="auto"/>
                <w:left w:val="none" w:sz="0" w:space="0" w:color="auto"/>
                <w:bottom w:val="none" w:sz="0" w:space="0" w:color="auto"/>
                <w:right w:val="none" w:sz="0" w:space="0" w:color="auto"/>
              </w:divBdr>
              <w:divsChild>
                <w:div w:id="142595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69158">
      <w:bodyDiv w:val="1"/>
      <w:marLeft w:val="0"/>
      <w:marRight w:val="0"/>
      <w:marTop w:val="0"/>
      <w:marBottom w:val="0"/>
      <w:divBdr>
        <w:top w:val="none" w:sz="0" w:space="0" w:color="auto"/>
        <w:left w:val="none" w:sz="0" w:space="0" w:color="auto"/>
        <w:bottom w:val="none" w:sz="0" w:space="0" w:color="auto"/>
        <w:right w:val="none" w:sz="0" w:space="0" w:color="auto"/>
      </w:divBdr>
      <w:divsChild>
        <w:div w:id="19475337">
          <w:marLeft w:val="0"/>
          <w:marRight w:val="0"/>
          <w:marTop w:val="0"/>
          <w:marBottom w:val="0"/>
          <w:divBdr>
            <w:top w:val="none" w:sz="0" w:space="0" w:color="auto"/>
            <w:left w:val="none" w:sz="0" w:space="0" w:color="auto"/>
            <w:bottom w:val="none" w:sz="0" w:space="0" w:color="auto"/>
            <w:right w:val="none" w:sz="0" w:space="0" w:color="auto"/>
          </w:divBdr>
          <w:divsChild>
            <w:div w:id="838079306">
              <w:marLeft w:val="0"/>
              <w:marRight w:val="0"/>
              <w:marTop w:val="0"/>
              <w:marBottom w:val="0"/>
              <w:divBdr>
                <w:top w:val="none" w:sz="0" w:space="0" w:color="auto"/>
                <w:left w:val="none" w:sz="0" w:space="0" w:color="auto"/>
                <w:bottom w:val="none" w:sz="0" w:space="0" w:color="auto"/>
                <w:right w:val="none" w:sz="0" w:space="0" w:color="auto"/>
              </w:divBdr>
              <w:divsChild>
                <w:div w:id="212734166">
                  <w:marLeft w:val="0"/>
                  <w:marRight w:val="0"/>
                  <w:marTop w:val="0"/>
                  <w:marBottom w:val="0"/>
                  <w:divBdr>
                    <w:top w:val="none" w:sz="0" w:space="0" w:color="auto"/>
                    <w:left w:val="none" w:sz="0" w:space="0" w:color="auto"/>
                    <w:bottom w:val="none" w:sz="0" w:space="0" w:color="auto"/>
                    <w:right w:val="none" w:sz="0" w:space="0" w:color="auto"/>
                  </w:divBdr>
                  <w:divsChild>
                    <w:div w:id="110322822">
                      <w:marLeft w:val="0"/>
                      <w:marRight w:val="0"/>
                      <w:marTop w:val="0"/>
                      <w:marBottom w:val="0"/>
                      <w:divBdr>
                        <w:top w:val="none" w:sz="0" w:space="0" w:color="auto"/>
                        <w:left w:val="none" w:sz="0" w:space="0" w:color="auto"/>
                        <w:bottom w:val="none" w:sz="0" w:space="0" w:color="auto"/>
                        <w:right w:val="none" w:sz="0" w:space="0" w:color="auto"/>
                      </w:divBdr>
                    </w:div>
                  </w:divsChild>
                </w:div>
                <w:div w:id="1464541955">
                  <w:marLeft w:val="0"/>
                  <w:marRight w:val="0"/>
                  <w:marTop w:val="0"/>
                  <w:marBottom w:val="0"/>
                  <w:divBdr>
                    <w:top w:val="none" w:sz="0" w:space="0" w:color="auto"/>
                    <w:left w:val="none" w:sz="0" w:space="0" w:color="auto"/>
                    <w:bottom w:val="none" w:sz="0" w:space="0" w:color="auto"/>
                    <w:right w:val="none" w:sz="0" w:space="0" w:color="auto"/>
                  </w:divBdr>
                  <w:divsChild>
                    <w:div w:id="16508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8141">
      <w:bodyDiv w:val="1"/>
      <w:marLeft w:val="0"/>
      <w:marRight w:val="0"/>
      <w:marTop w:val="0"/>
      <w:marBottom w:val="0"/>
      <w:divBdr>
        <w:top w:val="none" w:sz="0" w:space="0" w:color="auto"/>
        <w:left w:val="none" w:sz="0" w:space="0" w:color="auto"/>
        <w:bottom w:val="none" w:sz="0" w:space="0" w:color="auto"/>
        <w:right w:val="none" w:sz="0" w:space="0" w:color="auto"/>
      </w:divBdr>
      <w:divsChild>
        <w:div w:id="890965639">
          <w:marLeft w:val="0"/>
          <w:marRight w:val="0"/>
          <w:marTop w:val="0"/>
          <w:marBottom w:val="0"/>
          <w:divBdr>
            <w:top w:val="none" w:sz="0" w:space="0" w:color="auto"/>
            <w:left w:val="none" w:sz="0" w:space="0" w:color="auto"/>
            <w:bottom w:val="none" w:sz="0" w:space="0" w:color="auto"/>
            <w:right w:val="none" w:sz="0" w:space="0" w:color="auto"/>
          </w:divBdr>
          <w:divsChild>
            <w:div w:id="487984566">
              <w:marLeft w:val="0"/>
              <w:marRight w:val="0"/>
              <w:marTop w:val="0"/>
              <w:marBottom w:val="0"/>
              <w:divBdr>
                <w:top w:val="none" w:sz="0" w:space="0" w:color="auto"/>
                <w:left w:val="none" w:sz="0" w:space="0" w:color="auto"/>
                <w:bottom w:val="none" w:sz="0" w:space="0" w:color="auto"/>
                <w:right w:val="none" w:sz="0" w:space="0" w:color="auto"/>
              </w:divBdr>
              <w:divsChild>
                <w:div w:id="2085908131">
                  <w:marLeft w:val="0"/>
                  <w:marRight w:val="0"/>
                  <w:marTop w:val="0"/>
                  <w:marBottom w:val="0"/>
                  <w:divBdr>
                    <w:top w:val="none" w:sz="0" w:space="0" w:color="auto"/>
                    <w:left w:val="none" w:sz="0" w:space="0" w:color="auto"/>
                    <w:bottom w:val="none" w:sz="0" w:space="0" w:color="auto"/>
                    <w:right w:val="none" w:sz="0" w:space="0" w:color="auto"/>
                  </w:divBdr>
                </w:div>
              </w:divsChild>
            </w:div>
            <w:div w:id="172846546">
              <w:marLeft w:val="0"/>
              <w:marRight w:val="0"/>
              <w:marTop w:val="0"/>
              <w:marBottom w:val="0"/>
              <w:divBdr>
                <w:top w:val="none" w:sz="0" w:space="0" w:color="auto"/>
                <w:left w:val="none" w:sz="0" w:space="0" w:color="auto"/>
                <w:bottom w:val="none" w:sz="0" w:space="0" w:color="auto"/>
                <w:right w:val="none" w:sz="0" w:space="0" w:color="auto"/>
              </w:divBdr>
              <w:divsChild>
                <w:div w:id="20557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6591">
      <w:bodyDiv w:val="1"/>
      <w:marLeft w:val="0"/>
      <w:marRight w:val="0"/>
      <w:marTop w:val="0"/>
      <w:marBottom w:val="0"/>
      <w:divBdr>
        <w:top w:val="none" w:sz="0" w:space="0" w:color="auto"/>
        <w:left w:val="none" w:sz="0" w:space="0" w:color="auto"/>
        <w:bottom w:val="none" w:sz="0" w:space="0" w:color="auto"/>
        <w:right w:val="none" w:sz="0" w:space="0" w:color="auto"/>
      </w:divBdr>
      <w:divsChild>
        <w:div w:id="1635479008">
          <w:marLeft w:val="0"/>
          <w:marRight w:val="0"/>
          <w:marTop w:val="0"/>
          <w:marBottom w:val="0"/>
          <w:divBdr>
            <w:top w:val="none" w:sz="0" w:space="0" w:color="auto"/>
            <w:left w:val="none" w:sz="0" w:space="0" w:color="auto"/>
            <w:bottom w:val="none" w:sz="0" w:space="0" w:color="auto"/>
            <w:right w:val="none" w:sz="0" w:space="0" w:color="auto"/>
          </w:divBdr>
          <w:divsChild>
            <w:div w:id="417604453">
              <w:marLeft w:val="0"/>
              <w:marRight w:val="0"/>
              <w:marTop w:val="0"/>
              <w:marBottom w:val="0"/>
              <w:divBdr>
                <w:top w:val="none" w:sz="0" w:space="0" w:color="auto"/>
                <w:left w:val="none" w:sz="0" w:space="0" w:color="auto"/>
                <w:bottom w:val="none" w:sz="0" w:space="0" w:color="auto"/>
                <w:right w:val="none" w:sz="0" w:space="0" w:color="auto"/>
              </w:divBdr>
              <w:divsChild>
                <w:div w:id="587933516">
                  <w:marLeft w:val="0"/>
                  <w:marRight w:val="0"/>
                  <w:marTop w:val="0"/>
                  <w:marBottom w:val="0"/>
                  <w:divBdr>
                    <w:top w:val="none" w:sz="0" w:space="0" w:color="auto"/>
                    <w:left w:val="none" w:sz="0" w:space="0" w:color="auto"/>
                    <w:bottom w:val="none" w:sz="0" w:space="0" w:color="auto"/>
                    <w:right w:val="none" w:sz="0" w:space="0" w:color="auto"/>
                  </w:divBdr>
                  <w:divsChild>
                    <w:div w:id="10797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97021">
      <w:bodyDiv w:val="1"/>
      <w:marLeft w:val="0"/>
      <w:marRight w:val="0"/>
      <w:marTop w:val="0"/>
      <w:marBottom w:val="0"/>
      <w:divBdr>
        <w:top w:val="none" w:sz="0" w:space="0" w:color="auto"/>
        <w:left w:val="none" w:sz="0" w:space="0" w:color="auto"/>
        <w:bottom w:val="none" w:sz="0" w:space="0" w:color="auto"/>
        <w:right w:val="none" w:sz="0" w:space="0" w:color="auto"/>
      </w:divBdr>
      <w:divsChild>
        <w:div w:id="182715853">
          <w:marLeft w:val="0"/>
          <w:marRight w:val="0"/>
          <w:marTop w:val="0"/>
          <w:marBottom w:val="0"/>
          <w:divBdr>
            <w:top w:val="none" w:sz="0" w:space="0" w:color="auto"/>
            <w:left w:val="none" w:sz="0" w:space="0" w:color="auto"/>
            <w:bottom w:val="none" w:sz="0" w:space="0" w:color="auto"/>
            <w:right w:val="none" w:sz="0" w:space="0" w:color="auto"/>
          </w:divBdr>
        </w:div>
        <w:div w:id="191724952">
          <w:marLeft w:val="0"/>
          <w:marRight w:val="0"/>
          <w:marTop w:val="0"/>
          <w:marBottom w:val="0"/>
          <w:divBdr>
            <w:top w:val="none" w:sz="0" w:space="0" w:color="auto"/>
            <w:left w:val="none" w:sz="0" w:space="0" w:color="auto"/>
            <w:bottom w:val="none" w:sz="0" w:space="0" w:color="auto"/>
            <w:right w:val="none" w:sz="0" w:space="0" w:color="auto"/>
          </w:divBdr>
        </w:div>
        <w:div w:id="252978750">
          <w:marLeft w:val="0"/>
          <w:marRight w:val="0"/>
          <w:marTop w:val="0"/>
          <w:marBottom w:val="0"/>
          <w:divBdr>
            <w:top w:val="none" w:sz="0" w:space="0" w:color="auto"/>
            <w:left w:val="none" w:sz="0" w:space="0" w:color="auto"/>
            <w:bottom w:val="none" w:sz="0" w:space="0" w:color="auto"/>
            <w:right w:val="none" w:sz="0" w:space="0" w:color="auto"/>
          </w:divBdr>
        </w:div>
        <w:div w:id="287514249">
          <w:marLeft w:val="0"/>
          <w:marRight w:val="0"/>
          <w:marTop w:val="0"/>
          <w:marBottom w:val="0"/>
          <w:divBdr>
            <w:top w:val="none" w:sz="0" w:space="0" w:color="auto"/>
            <w:left w:val="none" w:sz="0" w:space="0" w:color="auto"/>
            <w:bottom w:val="none" w:sz="0" w:space="0" w:color="auto"/>
            <w:right w:val="none" w:sz="0" w:space="0" w:color="auto"/>
          </w:divBdr>
        </w:div>
        <w:div w:id="301732656">
          <w:marLeft w:val="0"/>
          <w:marRight w:val="0"/>
          <w:marTop w:val="0"/>
          <w:marBottom w:val="0"/>
          <w:divBdr>
            <w:top w:val="none" w:sz="0" w:space="0" w:color="auto"/>
            <w:left w:val="none" w:sz="0" w:space="0" w:color="auto"/>
            <w:bottom w:val="none" w:sz="0" w:space="0" w:color="auto"/>
            <w:right w:val="none" w:sz="0" w:space="0" w:color="auto"/>
          </w:divBdr>
        </w:div>
        <w:div w:id="469518370">
          <w:marLeft w:val="0"/>
          <w:marRight w:val="0"/>
          <w:marTop w:val="0"/>
          <w:marBottom w:val="0"/>
          <w:divBdr>
            <w:top w:val="none" w:sz="0" w:space="0" w:color="auto"/>
            <w:left w:val="none" w:sz="0" w:space="0" w:color="auto"/>
            <w:bottom w:val="none" w:sz="0" w:space="0" w:color="auto"/>
            <w:right w:val="none" w:sz="0" w:space="0" w:color="auto"/>
          </w:divBdr>
        </w:div>
        <w:div w:id="709568708">
          <w:marLeft w:val="0"/>
          <w:marRight w:val="0"/>
          <w:marTop w:val="0"/>
          <w:marBottom w:val="0"/>
          <w:divBdr>
            <w:top w:val="none" w:sz="0" w:space="0" w:color="auto"/>
            <w:left w:val="none" w:sz="0" w:space="0" w:color="auto"/>
            <w:bottom w:val="none" w:sz="0" w:space="0" w:color="auto"/>
            <w:right w:val="none" w:sz="0" w:space="0" w:color="auto"/>
          </w:divBdr>
        </w:div>
        <w:div w:id="713234637">
          <w:marLeft w:val="0"/>
          <w:marRight w:val="0"/>
          <w:marTop w:val="0"/>
          <w:marBottom w:val="0"/>
          <w:divBdr>
            <w:top w:val="none" w:sz="0" w:space="0" w:color="auto"/>
            <w:left w:val="none" w:sz="0" w:space="0" w:color="auto"/>
            <w:bottom w:val="none" w:sz="0" w:space="0" w:color="auto"/>
            <w:right w:val="none" w:sz="0" w:space="0" w:color="auto"/>
          </w:divBdr>
          <w:divsChild>
            <w:div w:id="471679896">
              <w:marLeft w:val="0"/>
              <w:marRight w:val="0"/>
              <w:marTop w:val="0"/>
              <w:marBottom w:val="0"/>
              <w:divBdr>
                <w:top w:val="none" w:sz="0" w:space="0" w:color="auto"/>
                <w:left w:val="none" w:sz="0" w:space="0" w:color="auto"/>
                <w:bottom w:val="none" w:sz="0" w:space="0" w:color="auto"/>
                <w:right w:val="none" w:sz="0" w:space="0" w:color="auto"/>
              </w:divBdr>
            </w:div>
            <w:div w:id="612597143">
              <w:marLeft w:val="0"/>
              <w:marRight w:val="0"/>
              <w:marTop w:val="0"/>
              <w:marBottom w:val="0"/>
              <w:divBdr>
                <w:top w:val="none" w:sz="0" w:space="0" w:color="auto"/>
                <w:left w:val="none" w:sz="0" w:space="0" w:color="auto"/>
                <w:bottom w:val="none" w:sz="0" w:space="0" w:color="auto"/>
                <w:right w:val="none" w:sz="0" w:space="0" w:color="auto"/>
              </w:divBdr>
            </w:div>
            <w:div w:id="649090851">
              <w:marLeft w:val="0"/>
              <w:marRight w:val="0"/>
              <w:marTop w:val="0"/>
              <w:marBottom w:val="0"/>
              <w:divBdr>
                <w:top w:val="none" w:sz="0" w:space="0" w:color="auto"/>
                <w:left w:val="none" w:sz="0" w:space="0" w:color="auto"/>
                <w:bottom w:val="none" w:sz="0" w:space="0" w:color="auto"/>
                <w:right w:val="none" w:sz="0" w:space="0" w:color="auto"/>
              </w:divBdr>
            </w:div>
            <w:div w:id="723993229">
              <w:marLeft w:val="0"/>
              <w:marRight w:val="0"/>
              <w:marTop w:val="0"/>
              <w:marBottom w:val="0"/>
              <w:divBdr>
                <w:top w:val="none" w:sz="0" w:space="0" w:color="auto"/>
                <w:left w:val="none" w:sz="0" w:space="0" w:color="auto"/>
                <w:bottom w:val="none" w:sz="0" w:space="0" w:color="auto"/>
                <w:right w:val="none" w:sz="0" w:space="0" w:color="auto"/>
              </w:divBdr>
            </w:div>
            <w:div w:id="792989212">
              <w:marLeft w:val="0"/>
              <w:marRight w:val="0"/>
              <w:marTop w:val="0"/>
              <w:marBottom w:val="0"/>
              <w:divBdr>
                <w:top w:val="none" w:sz="0" w:space="0" w:color="auto"/>
                <w:left w:val="none" w:sz="0" w:space="0" w:color="auto"/>
                <w:bottom w:val="none" w:sz="0" w:space="0" w:color="auto"/>
                <w:right w:val="none" w:sz="0" w:space="0" w:color="auto"/>
              </w:divBdr>
            </w:div>
            <w:div w:id="793837719">
              <w:marLeft w:val="0"/>
              <w:marRight w:val="0"/>
              <w:marTop w:val="0"/>
              <w:marBottom w:val="0"/>
              <w:divBdr>
                <w:top w:val="none" w:sz="0" w:space="0" w:color="auto"/>
                <w:left w:val="none" w:sz="0" w:space="0" w:color="auto"/>
                <w:bottom w:val="none" w:sz="0" w:space="0" w:color="auto"/>
                <w:right w:val="none" w:sz="0" w:space="0" w:color="auto"/>
              </w:divBdr>
            </w:div>
            <w:div w:id="1037199016">
              <w:marLeft w:val="0"/>
              <w:marRight w:val="0"/>
              <w:marTop w:val="0"/>
              <w:marBottom w:val="0"/>
              <w:divBdr>
                <w:top w:val="none" w:sz="0" w:space="0" w:color="auto"/>
                <w:left w:val="none" w:sz="0" w:space="0" w:color="auto"/>
                <w:bottom w:val="none" w:sz="0" w:space="0" w:color="auto"/>
                <w:right w:val="none" w:sz="0" w:space="0" w:color="auto"/>
              </w:divBdr>
            </w:div>
            <w:div w:id="1144397153">
              <w:marLeft w:val="0"/>
              <w:marRight w:val="0"/>
              <w:marTop w:val="0"/>
              <w:marBottom w:val="0"/>
              <w:divBdr>
                <w:top w:val="none" w:sz="0" w:space="0" w:color="auto"/>
                <w:left w:val="none" w:sz="0" w:space="0" w:color="auto"/>
                <w:bottom w:val="none" w:sz="0" w:space="0" w:color="auto"/>
                <w:right w:val="none" w:sz="0" w:space="0" w:color="auto"/>
              </w:divBdr>
            </w:div>
            <w:div w:id="1367095489">
              <w:marLeft w:val="0"/>
              <w:marRight w:val="0"/>
              <w:marTop w:val="0"/>
              <w:marBottom w:val="0"/>
              <w:divBdr>
                <w:top w:val="none" w:sz="0" w:space="0" w:color="auto"/>
                <w:left w:val="none" w:sz="0" w:space="0" w:color="auto"/>
                <w:bottom w:val="none" w:sz="0" w:space="0" w:color="auto"/>
                <w:right w:val="none" w:sz="0" w:space="0" w:color="auto"/>
              </w:divBdr>
            </w:div>
            <w:div w:id="1399864787">
              <w:marLeft w:val="0"/>
              <w:marRight w:val="0"/>
              <w:marTop w:val="0"/>
              <w:marBottom w:val="0"/>
              <w:divBdr>
                <w:top w:val="none" w:sz="0" w:space="0" w:color="auto"/>
                <w:left w:val="none" w:sz="0" w:space="0" w:color="auto"/>
                <w:bottom w:val="none" w:sz="0" w:space="0" w:color="auto"/>
                <w:right w:val="none" w:sz="0" w:space="0" w:color="auto"/>
              </w:divBdr>
            </w:div>
            <w:div w:id="1434009510">
              <w:marLeft w:val="0"/>
              <w:marRight w:val="0"/>
              <w:marTop w:val="0"/>
              <w:marBottom w:val="0"/>
              <w:divBdr>
                <w:top w:val="none" w:sz="0" w:space="0" w:color="auto"/>
                <w:left w:val="none" w:sz="0" w:space="0" w:color="auto"/>
                <w:bottom w:val="none" w:sz="0" w:space="0" w:color="auto"/>
                <w:right w:val="none" w:sz="0" w:space="0" w:color="auto"/>
              </w:divBdr>
            </w:div>
            <w:div w:id="1454133632">
              <w:marLeft w:val="0"/>
              <w:marRight w:val="0"/>
              <w:marTop w:val="0"/>
              <w:marBottom w:val="0"/>
              <w:divBdr>
                <w:top w:val="none" w:sz="0" w:space="0" w:color="auto"/>
                <w:left w:val="none" w:sz="0" w:space="0" w:color="auto"/>
                <w:bottom w:val="none" w:sz="0" w:space="0" w:color="auto"/>
                <w:right w:val="none" w:sz="0" w:space="0" w:color="auto"/>
              </w:divBdr>
            </w:div>
            <w:div w:id="1596748860">
              <w:marLeft w:val="0"/>
              <w:marRight w:val="0"/>
              <w:marTop w:val="0"/>
              <w:marBottom w:val="0"/>
              <w:divBdr>
                <w:top w:val="none" w:sz="0" w:space="0" w:color="auto"/>
                <w:left w:val="none" w:sz="0" w:space="0" w:color="auto"/>
                <w:bottom w:val="none" w:sz="0" w:space="0" w:color="auto"/>
                <w:right w:val="none" w:sz="0" w:space="0" w:color="auto"/>
              </w:divBdr>
            </w:div>
            <w:div w:id="1615091734">
              <w:marLeft w:val="0"/>
              <w:marRight w:val="0"/>
              <w:marTop w:val="0"/>
              <w:marBottom w:val="0"/>
              <w:divBdr>
                <w:top w:val="none" w:sz="0" w:space="0" w:color="auto"/>
                <w:left w:val="none" w:sz="0" w:space="0" w:color="auto"/>
                <w:bottom w:val="none" w:sz="0" w:space="0" w:color="auto"/>
                <w:right w:val="none" w:sz="0" w:space="0" w:color="auto"/>
              </w:divBdr>
            </w:div>
            <w:div w:id="1764647320">
              <w:marLeft w:val="0"/>
              <w:marRight w:val="0"/>
              <w:marTop w:val="0"/>
              <w:marBottom w:val="0"/>
              <w:divBdr>
                <w:top w:val="none" w:sz="0" w:space="0" w:color="auto"/>
                <w:left w:val="none" w:sz="0" w:space="0" w:color="auto"/>
                <w:bottom w:val="none" w:sz="0" w:space="0" w:color="auto"/>
                <w:right w:val="none" w:sz="0" w:space="0" w:color="auto"/>
              </w:divBdr>
            </w:div>
            <w:div w:id="1771971951">
              <w:marLeft w:val="0"/>
              <w:marRight w:val="0"/>
              <w:marTop w:val="0"/>
              <w:marBottom w:val="0"/>
              <w:divBdr>
                <w:top w:val="none" w:sz="0" w:space="0" w:color="auto"/>
                <w:left w:val="none" w:sz="0" w:space="0" w:color="auto"/>
                <w:bottom w:val="none" w:sz="0" w:space="0" w:color="auto"/>
                <w:right w:val="none" w:sz="0" w:space="0" w:color="auto"/>
              </w:divBdr>
            </w:div>
            <w:div w:id="1973241882">
              <w:marLeft w:val="0"/>
              <w:marRight w:val="0"/>
              <w:marTop w:val="0"/>
              <w:marBottom w:val="0"/>
              <w:divBdr>
                <w:top w:val="none" w:sz="0" w:space="0" w:color="auto"/>
                <w:left w:val="none" w:sz="0" w:space="0" w:color="auto"/>
                <w:bottom w:val="none" w:sz="0" w:space="0" w:color="auto"/>
                <w:right w:val="none" w:sz="0" w:space="0" w:color="auto"/>
              </w:divBdr>
            </w:div>
            <w:div w:id="2021009362">
              <w:marLeft w:val="0"/>
              <w:marRight w:val="0"/>
              <w:marTop w:val="0"/>
              <w:marBottom w:val="0"/>
              <w:divBdr>
                <w:top w:val="none" w:sz="0" w:space="0" w:color="auto"/>
                <w:left w:val="none" w:sz="0" w:space="0" w:color="auto"/>
                <w:bottom w:val="none" w:sz="0" w:space="0" w:color="auto"/>
                <w:right w:val="none" w:sz="0" w:space="0" w:color="auto"/>
              </w:divBdr>
            </w:div>
            <w:div w:id="2091536297">
              <w:marLeft w:val="0"/>
              <w:marRight w:val="0"/>
              <w:marTop w:val="0"/>
              <w:marBottom w:val="0"/>
              <w:divBdr>
                <w:top w:val="none" w:sz="0" w:space="0" w:color="auto"/>
                <w:left w:val="none" w:sz="0" w:space="0" w:color="auto"/>
                <w:bottom w:val="none" w:sz="0" w:space="0" w:color="auto"/>
                <w:right w:val="none" w:sz="0" w:space="0" w:color="auto"/>
              </w:divBdr>
            </w:div>
            <w:div w:id="2110200453">
              <w:marLeft w:val="0"/>
              <w:marRight w:val="0"/>
              <w:marTop w:val="0"/>
              <w:marBottom w:val="0"/>
              <w:divBdr>
                <w:top w:val="none" w:sz="0" w:space="0" w:color="auto"/>
                <w:left w:val="none" w:sz="0" w:space="0" w:color="auto"/>
                <w:bottom w:val="none" w:sz="0" w:space="0" w:color="auto"/>
                <w:right w:val="none" w:sz="0" w:space="0" w:color="auto"/>
              </w:divBdr>
            </w:div>
          </w:divsChild>
        </w:div>
        <w:div w:id="744955665">
          <w:marLeft w:val="0"/>
          <w:marRight w:val="0"/>
          <w:marTop w:val="0"/>
          <w:marBottom w:val="0"/>
          <w:divBdr>
            <w:top w:val="none" w:sz="0" w:space="0" w:color="auto"/>
            <w:left w:val="none" w:sz="0" w:space="0" w:color="auto"/>
            <w:bottom w:val="none" w:sz="0" w:space="0" w:color="auto"/>
            <w:right w:val="none" w:sz="0" w:space="0" w:color="auto"/>
          </w:divBdr>
        </w:div>
        <w:div w:id="764154186">
          <w:marLeft w:val="0"/>
          <w:marRight w:val="0"/>
          <w:marTop w:val="0"/>
          <w:marBottom w:val="0"/>
          <w:divBdr>
            <w:top w:val="none" w:sz="0" w:space="0" w:color="auto"/>
            <w:left w:val="none" w:sz="0" w:space="0" w:color="auto"/>
            <w:bottom w:val="none" w:sz="0" w:space="0" w:color="auto"/>
            <w:right w:val="none" w:sz="0" w:space="0" w:color="auto"/>
          </w:divBdr>
        </w:div>
        <w:div w:id="876089491">
          <w:marLeft w:val="0"/>
          <w:marRight w:val="0"/>
          <w:marTop w:val="0"/>
          <w:marBottom w:val="0"/>
          <w:divBdr>
            <w:top w:val="none" w:sz="0" w:space="0" w:color="auto"/>
            <w:left w:val="none" w:sz="0" w:space="0" w:color="auto"/>
            <w:bottom w:val="none" w:sz="0" w:space="0" w:color="auto"/>
            <w:right w:val="none" w:sz="0" w:space="0" w:color="auto"/>
          </w:divBdr>
        </w:div>
        <w:div w:id="890113620">
          <w:marLeft w:val="0"/>
          <w:marRight w:val="0"/>
          <w:marTop w:val="0"/>
          <w:marBottom w:val="0"/>
          <w:divBdr>
            <w:top w:val="none" w:sz="0" w:space="0" w:color="auto"/>
            <w:left w:val="none" w:sz="0" w:space="0" w:color="auto"/>
            <w:bottom w:val="none" w:sz="0" w:space="0" w:color="auto"/>
            <w:right w:val="none" w:sz="0" w:space="0" w:color="auto"/>
          </w:divBdr>
        </w:div>
        <w:div w:id="911544154">
          <w:marLeft w:val="0"/>
          <w:marRight w:val="0"/>
          <w:marTop w:val="0"/>
          <w:marBottom w:val="0"/>
          <w:divBdr>
            <w:top w:val="none" w:sz="0" w:space="0" w:color="auto"/>
            <w:left w:val="none" w:sz="0" w:space="0" w:color="auto"/>
            <w:bottom w:val="none" w:sz="0" w:space="0" w:color="auto"/>
            <w:right w:val="none" w:sz="0" w:space="0" w:color="auto"/>
          </w:divBdr>
        </w:div>
        <w:div w:id="1295524082">
          <w:marLeft w:val="0"/>
          <w:marRight w:val="0"/>
          <w:marTop w:val="0"/>
          <w:marBottom w:val="0"/>
          <w:divBdr>
            <w:top w:val="none" w:sz="0" w:space="0" w:color="auto"/>
            <w:left w:val="none" w:sz="0" w:space="0" w:color="auto"/>
            <w:bottom w:val="none" w:sz="0" w:space="0" w:color="auto"/>
            <w:right w:val="none" w:sz="0" w:space="0" w:color="auto"/>
          </w:divBdr>
        </w:div>
        <w:div w:id="1406536300">
          <w:marLeft w:val="0"/>
          <w:marRight w:val="0"/>
          <w:marTop w:val="0"/>
          <w:marBottom w:val="0"/>
          <w:divBdr>
            <w:top w:val="none" w:sz="0" w:space="0" w:color="auto"/>
            <w:left w:val="none" w:sz="0" w:space="0" w:color="auto"/>
            <w:bottom w:val="none" w:sz="0" w:space="0" w:color="auto"/>
            <w:right w:val="none" w:sz="0" w:space="0" w:color="auto"/>
          </w:divBdr>
        </w:div>
        <w:div w:id="1429890386">
          <w:marLeft w:val="0"/>
          <w:marRight w:val="0"/>
          <w:marTop w:val="0"/>
          <w:marBottom w:val="0"/>
          <w:divBdr>
            <w:top w:val="none" w:sz="0" w:space="0" w:color="auto"/>
            <w:left w:val="none" w:sz="0" w:space="0" w:color="auto"/>
            <w:bottom w:val="none" w:sz="0" w:space="0" w:color="auto"/>
            <w:right w:val="none" w:sz="0" w:space="0" w:color="auto"/>
          </w:divBdr>
        </w:div>
        <w:div w:id="1533616959">
          <w:marLeft w:val="0"/>
          <w:marRight w:val="0"/>
          <w:marTop w:val="0"/>
          <w:marBottom w:val="0"/>
          <w:divBdr>
            <w:top w:val="none" w:sz="0" w:space="0" w:color="auto"/>
            <w:left w:val="none" w:sz="0" w:space="0" w:color="auto"/>
            <w:bottom w:val="none" w:sz="0" w:space="0" w:color="auto"/>
            <w:right w:val="none" w:sz="0" w:space="0" w:color="auto"/>
          </w:divBdr>
        </w:div>
        <w:div w:id="1537965149">
          <w:marLeft w:val="0"/>
          <w:marRight w:val="0"/>
          <w:marTop w:val="0"/>
          <w:marBottom w:val="0"/>
          <w:divBdr>
            <w:top w:val="none" w:sz="0" w:space="0" w:color="auto"/>
            <w:left w:val="none" w:sz="0" w:space="0" w:color="auto"/>
            <w:bottom w:val="none" w:sz="0" w:space="0" w:color="auto"/>
            <w:right w:val="none" w:sz="0" w:space="0" w:color="auto"/>
          </w:divBdr>
        </w:div>
        <w:div w:id="1562911683">
          <w:marLeft w:val="0"/>
          <w:marRight w:val="0"/>
          <w:marTop w:val="0"/>
          <w:marBottom w:val="0"/>
          <w:divBdr>
            <w:top w:val="none" w:sz="0" w:space="0" w:color="auto"/>
            <w:left w:val="none" w:sz="0" w:space="0" w:color="auto"/>
            <w:bottom w:val="none" w:sz="0" w:space="0" w:color="auto"/>
            <w:right w:val="none" w:sz="0" w:space="0" w:color="auto"/>
          </w:divBdr>
        </w:div>
        <w:div w:id="1606158589">
          <w:marLeft w:val="0"/>
          <w:marRight w:val="0"/>
          <w:marTop w:val="0"/>
          <w:marBottom w:val="0"/>
          <w:divBdr>
            <w:top w:val="none" w:sz="0" w:space="0" w:color="auto"/>
            <w:left w:val="none" w:sz="0" w:space="0" w:color="auto"/>
            <w:bottom w:val="none" w:sz="0" w:space="0" w:color="auto"/>
            <w:right w:val="none" w:sz="0" w:space="0" w:color="auto"/>
          </w:divBdr>
        </w:div>
        <w:div w:id="1628048821">
          <w:marLeft w:val="0"/>
          <w:marRight w:val="0"/>
          <w:marTop w:val="0"/>
          <w:marBottom w:val="0"/>
          <w:divBdr>
            <w:top w:val="none" w:sz="0" w:space="0" w:color="auto"/>
            <w:left w:val="none" w:sz="0" w:space="0" w:color="auto"/>
            <w:bottom w:val="none" w:sz="0" w:space="0" w:color="auto"/>
            <w:right w:val="none" w:sz="0" w:space="0" w:color="auto"/>
          </w:divBdr>
        </w:div>
        <w:div w:id="1715619366">
          <w:marLeft w:val="0"/>
          <w:marRight w:val="0"/>
          <w:marTop w:val="0"/>
          <w:marBottom w:val="0"/>
          <w:divBdr>
            <w:top w:val="none" w:sz="0" w:space="0" w:color="auto"/>
            <w:left w:val="none" w:sz="0" w:space="0" w:color="auto"/>
            <w:bottom w:val="none" w:sz="0" w:space="0" w:color="auto"/>
            <w:right w:val="none" w:sz="0" w:space="0" w:color="auto"/>
          </w:divBdr>
        </w:div>
        <w:div w:id="1728648486">
          <w:marLeft w:val="0"/>
          <w:marRight w:val="0"/>
          <w:marTop w:val="0"/>
          <w:marBottom w:val="0"/>
          <w:divBdr>
            <w:top w:val="none" w:sz="0" w:space="0" w:color="auto"/>
            <w:left w:val="none" w:sz="0" w:space="0" w:color="auto"/>
            <w:bottom w:val="none" w:sz="0" w:space="0" w:color="auto"/>
            <w:right w:val="none" w:sz="0" w:space="0" w:color="auto"/>
          </w:divBdr>
        </w:div>
        <w:div w:id="1751924840">
          <w:marLeft w:val="0"/>
          <w:marRight w:val="0"/>
          <w:marTop w:val="0"/>
          <w:marBottom w:val="0"/>
          <w:divBdr>
            <w:top w:val="none" w:sz="0" w:space="0" w:color="auto"/>
            <w:left w:val="none" w:sz="0" w:space="0" w:color="auto"/>
            <w:bottom w:val="none" w:sz="0" w:space="0" w:color="auto"/>
            <w:right w:val="none" w:sz="0" w:space="0" w:color="auto"/>
          </w:divBdr>
        </w:div>
        <w:div w:id="1767533760">
          <w:marLeft w:val="0"/>
          <w:marRight w:val="0"/>
          <w:marTop w:val="0"/>
          <w:marBottom w:val="0"/>
          <w:divBdr>
            <w:top w:val="none" w:sz="0" w:space="0" w:color="auto"/>
            <w:left w:val="none" w:sz="0" w:space="0" w:color="auto"/>
            <w:bottom w:val="none" w:sz="0" w:space="0" w:color="auto"/>
            <w:right w:val="none" w:sz="0" w:space="0" w:color="auto"/>
          </w:divBdr>
        </w:div>
        <w:div w:id="1871724067">
          <w:marLeft w:val="0"/>
          <w:marRight w:val="0"/>
          <w:marTop w:val="0"/>
          <w:marBottom w:val="0"/>
          <w:divBdr>
            <w:top w:val="none" w:sz="0" w:space="0" w:color="auto"/>
            <w:left w:val="none" w:sz="0" w:space="0" w:color="auto"/>
            <w:bottom w:val="none" w:sz="0" w:space="0" w:color="auto"/>
            <w:right w:val="none" w:sz="0" w:space="0" w:color="auto"/>
          </w:divBdr>
        </w:div>
        <w:div w:id="2136170408">
          <w:marLeft w:val="0"/>
          <w:marRight w:val="0"/>
          <w:marTop w:val="0"/>
          <w:marBottom w:val="0"/>
          <w:divBdr>
            <w:top w:val="none" w:sz="0" w:space="0" w:color="auto"/>
            <w:left w:val="none" w:sz="0" w:space="0" w:color="auto"/>
            <w:bottom w:val="none" w:sz="0" w:space="0" w:color="auto"/>
            <w:right w:val="none" w:sz="0" w:space="0" w:color="auto"/>
          </w:divBdr>
        </w:div>
      </w:divsChild>
    </w:div>
    <w:div w:id="1672289914">
      <w:bodyDiv w:val="1"/>
      <w:marLeft w:val="0"/>
      <w:marRight w:val="0"/>
      <w:marTop w:val="0"/>
      <w:marBottom w:val="0"/>
      <w:divBdr>
        <w:top w:val="none" w:sz="0" w:space="0" w:color="auto"/>
        <w:left w:val="none" w:sz="0" w:space="0" w:color="auto"/>
        <w:bottom w:val="none" w:sz="0" w:space="0" w:color="auto"/>
        <w:right w:val="none" w:sz="0" w:space="0" w:color="auto"/>
      </w:divBdr>
      <w:divsChild>
        <w:div w:id="2517769">
          <w:marLeft w:val="0"/>
          <w:marRight w:val="0"/>
          <w:marTop w:val="0"/>
          <w:marBottom w:val="0"/>
          <w:divBdr>
            <w:top w:val="none" w:sz="0" w:space="0" w:color="auto"/>
            <w:left w:val="none" w:sz="0" w:space="0" w:color="auto"/>
            <w:bottom w:val="none" w:sz="0" w:space="0" w:color="auto"/>
            <w:right w:val="none" w:sz="0" w:space="0" w:color="auto"/>
          </w:divBdr>
        </w:div>
        <w:div w:id="76365438">
          <w:marLeft w:val="0"/>
          <w:marRight w:val="0"/>
          <w:marTop w:val="0"/>
          <w:marBottom w:val="0"/>
          <w:divBdr>
            <w:top w:val="none" w:sz="0" w:space="0" w:color="auto"/>
            <w:left w:val="none" w:sz="0" w:space="0" w:color="auto"/>
            <w:bottom w:val="none" w:sz="0" w:space="0" w:color="auto"/>
            <w:right w:val="none" w:sz="0" w:space="0" w:color="auto"/>
          </w:divBdr>
        </w:div>
        <w:div w:id="88694684">
          <w:marLeft w:val="0"/>
          <w:marRight w:val="0"/>
          <w:marTop w:val="0"/>
          <w:marBottom w:val="0"/>
          <w:divBdr>
            <w:top w:val="none" w:sz="0" w:space="0" w:color="auto"/>
            <w:left w:val="none" w:sz="0" w:space="0" w:color="auto"/>
            <w:bottom w:val="none" w:sz="0" w:space="0" w:color="auto"/>
            <w:right w:val="none" w:sz="0" w:space="0" w:color="auto"/>
          </w:divBdr>
        </w:div>
        <w:div w:id="116026586">
          <w:marLeft w:val="0"/>
          <w:marRight w:val="0"/>
          <w:marTop w:val="0"/>
          <w:marBottom w:val="0"/>
          <w:divBdr>
            <w:top w:val="none" w:sz="0" w:space="0" w:color="auto"/>
            <w:left w:val="none" w:sz="0" w:space="0" w:color="auto"/>
            <w:bottom w:val="none" w:sz="0" w:space="0" w:color="auto"/>
            <w:right w:val="none" w:sz="0" w:space="0" w:color="auto"/>
          </w:divBdr>
        </w:div>
        <w:div w:id="242181523">
          <w:marLeft w:val="0"/>
          <w:marRight w:val="0"/>
          <w:marTop w:val="0"/>
          <w:marBottom w:val="0"/>
          <w:divBdr>
            <w:top w:val="none" w:sz="0" w:space="0" w:color="auto"/>
            <w:left w:val="none" w:sz="0" w:space="0" w:color="auto"/>
            <w:bottom w:val="none" w:sz="0" w:space="0" w:color="auto"/>
            <w:right w:val="none" w:sz="0" w:space="0" w:color="auto"/>
          </w:divBdr>
        </w:div>
        <w:div w:id="295914307">
          <w:marLeft w:val="0"/>
          <w:marRight w:val="0"/>
          <w:marTop w:val="0"/>
          <w:marBottom w:val="0"/>
          <w:divBdr>
            <w:top w:val="none" w:sz="0" w:space="0" w:color="auto"/>
            <w:left w:val="none" w:sz="0" w:space="0" w:color="auto"/>
            <w:bottom w:val="none" w:sz="0" w:space="0" w:color="auto"/>
            <w:right w:val="none" w:sz="0" w:space="0" w:color="auto"/>
          </w:divBdr>
        </w:div>
        <w:div w:id="406418501">
          <w:marLeft w:val="0"/>
          <w:marRight w:val="0"/>
          <w:marTop w:val="0"/>
          <w:marBottom w:val="0"/>
          <w:divBdr>
            <w:top w:val="none" w:sz="0" w:space="0" w:color="auto"/>
            <w:left w:val="none" w:sz="0" w:space="0" w:color="auto"/>
            <w:bottom w:val="none" w:sz="0" w:space="0" w:color="auto"/>
            <w:right w:val="none" w:sz="0" w:space="0" w:color="auto"/>
          </w:divBdr>
        </w:div>
        <w:div w:id="413279785">
          <w:marLeft w:val="0"/>
          <w:marRight w:val="0"/>
          <w:marTop w:val="0"/>
          <w:marBottom w:val="0"/>
          <w:divBdr>
            <w:top w:val="none" w:sz="0" w:space="0" w:color="auto"/>
            <w:left w:val="none" w:sz="0" w:space="0" w:color="auto"/>
            <w:bottom w:val="none" w:sz="0" w:space="0" w:color="auto"/>
            <w:right w:val="none" w:sz="0" w:space="0" w:color="auto"/>
          </w:divBdr>
        </w:div>
        <w:div w:id="464811735">
          <w:marLeft w:val="0"/>
          <w:marRight w:val="0"/>
          <w:marTop w:val="0"/>
          <w:marBottom w:val="0"/>
          <w:divBdr>
            <w:top w:val="none" w:sz="0" w:space="0" w:color="auto"/>
            <w:left w:val="none" w:sz="0" w:space="0" w:color="auto"/>
            <w:bottom w:val="none" w:sz="0" w:space="0" w:color="auto"/>
            <w:right w:val="none" w:sz="0" w:space="0" w:color="auto"/>
          </w:divBdr>
        </w:div>
        <w:div w:id="611597589">
          <w:marLeft w:val="0"/>
          <w:marRight w:val="0"/>
          <w:marTop w:val="0"/>
          <w:marBottom w:val="0"/>
          <w:divBdr>
            <w:top w:val="none" w:sz="0" w:space="0" w:color="auto"/>
            <w:left w:val="none" w:sz="0" w:space="0" w:color="auto"/>
            <w:bottom w:val="none" w:sz="0" w:space="0" w:color="auto"/>
            <w:right w:val="none" w:sz="0" w:space="0" w:color="auto"/>
          </w:divBdr>
        </w:div>
        <w:div w:id="617299476">
          <w:marLeft w:val="0"/>
          <w:marRight w:val="0"/>
          <w:marTop w:val="0"/>
          <w:marBottom w:val="0"/>
          <w:divBdr>
            <w:top w:val="none" w:sz="0" w:space="0" w:color="auto"/>
            <w:left w:val="none" w:sz="0" w:space="0" w:color="auto"/>
            <w:bottom w:val="none" w:sz="0" w:space="0" w:color="auto"/>
            <w:right w:val="none" w:sz="0" w:space="0" w:color="auto"/>
          </w:divBdr>
        </w:div>
        <w:div w:id="673537967">
          <w:marLeft w:val="0"/>
          <w:marRight w:val="0"/>
          <w:marTop w:val="0"/>
          <w:marBottom w:val="0"/>
          <w:divBdr>
            <w:top w:val="none" w:sz="0" w:space="0" w:color="auto"/>
            <w:left w:val="none" w:sz="0" w:space="0" w:color="auto"/>
            <w:bottom w:val="none" w:sz="0" w:space="0" w:color="auto"/>
            <w:right w:val="none" w:sz="0" w:space="0" w:color="auto"/>
          </w:divBdr>
        </w:div>
        <w:div w:id="735131606">
          <w:marLeft w:val="0"/>
          <w:marRight w:val="0"/>
          <w:marTop w:val="0"/>
          <w:marBottom w:val="0"/>
          <w:divBdr>
            <w:top w:val="none" w:sz="0" w:space="0" w:color="auto"/>
            <w:left w:val="none" w:sz="0" w:space="0" w:color="auto"/>
            <w:bottom w:val="none" w:sz="0" w:space="0" w:color="auto"/>
            <w:right w:val="none" w:sz="0" w:space="0" w:color="auto"/>
          </w:divBdr>
        </w:div>
        <w:div w:id="835026866">
          <w:marLeft w:val="0"/>
          <w:marRight w:val="0"/>
          <w:marTop w:val="0"/>
          <w:marBottom w:val="0"/>
          <w:divBdr>
            <w:top w:val="none" w:sz="0" w:space="0" w:color="auto"/>
            <w:left w:val="none" w:sz="0" w:space="0" w:color="auto"/>
            <w:bottom w:val="none" w:sz="0" w:space="0" w:color="auto"/>
            <w:right w:val="none" w:sz="0" w:space="0" w:color="auto"/>
          </w:divBdr>
        </w:div>
        <w:div w:id="915164892">
          <w:marLeft w:val="0"/>
          <w:marRight w:val="0"/>
          <w:marTop w:val="0"/>
          <w:marBottom w:val="0"/>
          <w:divBdr>
            <w:top w:val="none" w:sz="0" w:space="0" w:color="auto"/>
            <w:left w:val="none" w:sz="0" w:space="0" w:color="auto"/>
            <w:bottom w:val="none" w:sz="0" w:space="0" w:color="auto"/>
            <w:right w:val="none" w:sz="0" w:space="0" w:color="auto"/>
          </w:divBdr>
        </w:div>
        <w:div w:id="937256583">
          <w:marLeft w:val="0"/>
          <w:marRight w:val="0"/>
          <w:marTop w:val="0"/>
          <w:marBottom w:val="0"/>
          <w:divBdr>
            <w:top w:val="none" w:sz="0" w:space="0" w:color="auto"/>
            <w:left w:val="none" w:sz="0" w:space="0" w:color="auto"/>
            <w:bottom w:val="none" w:sz="0" w:space="0" w:color="auto"/>
            <w:right w:val="none" w:sz="0" w:space="0" w:color="auto"/>
          </w:divBdr>
        </w:div>
        <w:div w:id="1365978667">
          <w:marLeft w:val="0"/>
          <w:marRight w:val="0"/>
          <w:marTop w:val="0"/>
          <w:marBottom w:val="0"/>
          <w:divBdr>
            <w:top w:val="none" w:sz="0" w:space="0" w:color="auto"/>
            <w:left w:val="none" w:sz="0" w:space="0" w:color="auto"/>
            <w:bottom w:val="none" w:sz="0" w:space="0" w:color="auto"/>
            <w:right w:val="none" w:sz="0" w:space="0" w:color="auto"/>
          </w:divBdr>
          <w:divsChild>
            <w:div w:id="666952">
              <w:marLeft w:val="0"/>
              <w:marRight w:val="0"/>
              <w:marTop w:val="0"/>
              <w:marBottom w:val="0"/>
              <w:divBdr>
                <w:top w:val="none" w:sz="0" w:space="0" w:color="auto"/>
                <w:left w:val="none" w:sz="0" w:space="0" w:color="auto"/>
                <w:bottom w:val="none" w:sz="0" w:space="0" w:color="auto"/>
                <w:right w:val="none" w:sz="0" w:space="0" w:color="auto"/>
              </w:divBdr>
            </w:div>
            <w:div w:id="31661206">
              <w:marLeft w:val="0"/>
              <w:marRight w:val="0"/>
              <w:marTop w:val="0"/>
              <w:marBottom w:val="0"/>
              <w:divBdr>
                <w:top w:val="none" w:sz="0" w:space="0" w:color="auto"/>
                <w:left w:val="none" w:sz="0" w:space="0" w:color="auto"/>
                <w:bottom w:val="none" w:sz="0" w:space="0" w:color="auto"/>
                <w:right w:val="none" w:sz="0" w:space="0" w:color="auto"/>
              </w:divBdr>
            </w:div>
            <w:div w:id="169032473">
              <w:marLeft w:val="0"/>
              <w:marRight w:val="0"/>
              <w:marTop w:val="0"/>
              <w:marBottom w:val="0"/>
              <w:divBdr>
                <w:top w:val="none" w:sz="0" w:space="0" w:color="auto"/>
                <w:left w:val="none" w:sz="0" w:space="0" w:color="auto"/>
                <w:bottom w:val="none" w:sz="0" w:space="0" w:color="auto"/>
                <w:right w:val="none" w:sz="0" w:space="0" w:color="auto"/>
              </w:divBdr>
            </w:div>
            <w:div w:id="183177937">
              <w:marLeft w:val="0"/>
              <w:marRight w:val="0"/>
              <w:marTop w:val="0"/>
              <w:marBottom w:val="0"/>
              <w:divBdr>
                <w:top w:val="none" w:sz="0" w:space="0" w:color="auto"/>
                <w:left w:val="none" w:sz="0" w:space="0" w:color="auto"/>
                <w:bottom w:val="none" w:sz="0" w:space="0" w:color="auto"/>
                <w:right w:val="none" w:sz="0" w:space="0" w:color="auto"/>
              </w:divBdr>
            </w:div>
            <w:div w:id="307631967">
              <w:marLeft w:val="0"/>
              <w:marRight w:val="0"/>
              <w:marTop w:val="0"/>
              <w:marBottom w:val="0"/>
              <w:divBdr>
                <w:top w:val="none" w:sz="0" w:space="0" w:color="auto"/>
                <w:left w:val="none" w:sz="0" w:space="0" w:color="auto"/>
                <w:bottom w:val="none" w:sz="0" w:space="0" w:color="auto"/>
                <w:right w:val="none" w:sz="0" w:space="0" w:color="auto"/>
              </w:divBdr>
            </w:div>
            <w:div w:id="442000228">
              <w:marLeft w:val="0"/>
              <w:marRight w:val="0"/>
              <w:marTop w:val="0"/>
              <w:marBottom w:val="0"/>
              <w:divBdr>
                <w:top w:val="none" w:sz="0" w:space="0" w:color="auto"/>
                <w:left w:val="none" w:sz="0" w:space="0" w:color="auto"/>
                <w:bottom w:val="none" w:sz="0" w:space="0" w:color="auto"/>
                <w:right w:val="none" w:sz="0" w:space="0" w:color="auto"/>
              </w:divBdr>
            </w:div>
            <w:div w:id="529605207">
              <w:marLeft w:val="0"/>
              <w:marRight w:val="0"/>
              <w:marTop w:val="0"/>
              <w:marBottom w:val="0"/>
              <w:divBdr>
                <w:top w:val="none" w:sz="0" w:space="0" w:color="auto"/>
                <w:left w:val="none" w:sz="0" w:space="0" w:color="auto"/>
                <w:bottom w:val="none" w:sz="0" w:space="0" w:color="auto"/>
                <w:right w:val="none" w:sz="0" w:space="0" w:color="auto"/>
              </w:divBdr>
            </w:div>
            <w:div w:id="635600809">
              <w:marLeft w:val="0"/>
              <w:marRight w:val="0"/>
              <w:marTop w:val="0"/>
              <w:marBottom w:val="0"/>
              <w:divBdr>
                <w:top w:val="none" w:sz="0" w:space="0" w:color="auto"/>
                <w:left w:val="none" w:sz="0" w:space="0" w:color="auto"/>
                <w:bottom w:val="none" w:sz="0" w:space="0" w:color="auto"/>
                <w:right w:val="none" w:sz="0" w:space="0" w:color="auto"/>
              </w:divBdr>
            </w:div>
            <w:div w:id="780413751">
              <w:marLeft w:val="0"/>
              <w:marRight w:val="0"/>
              <w:marTop w:val="0"/>
              <w:marBottom w:val="0"/>
              <w:divBdr>
                <w:top w:val="none" w:sz="0" w:space="0" w:color="auto"/>
                <w:left w:val="none" w:sz="0" w:space="0" w:color="auto"/>
                <w:bottom w:val="none" w:sz="0" w:space="0" w:color="auto"/>
                <w:right w:val="none" w:sz="0" w:space="0" w:color="auto"/>
              </w:divBdr>
            </w:div>
            <w:div w:id="1029457397">
              <w:marLeft w:val="0"/>
              <w:marRight w:val="0"/>
              <w:marTop w:val="0"/>
              <w:marBottom w:val="0"/>
              <w:divBdr>
                <w:top w:val="none" w:sz="0" w:space="0" w:color="auto"/>
                <w:left w:val="none" w:sz="0" w:space="0" w:color="auto"/>
                <w:bottom w:val="none" w:sz="0" w:space="0" w:color="auto"/>
                <w:right w:val="none" w:sz="0" w:space="0" w:color="auto"/>
              </w:divBdr>
            </w:div>
            <w:div w:id="1059982467">
              <w:marLeft w:val="0"/>
              <w:marRight w:val="0"/>
              <w:marTop w:val="0"/>
              <w:marBottom w:val="0"/>
              <w:divBdr>
                <w:top w:val="none" w:sz="0" w:space="0" w:color="auto"/>
                <w:left w:val="none" w:sz="0" w:space="0" w:color="auto"/>
                <w:bottom w:val="none" w:sz="0" w:space="0" w:color="auto"/>
                <w:right w:val="none" w:sz="0" w:space="0" w:color="auto"/>
              </w:divBdr>
            </w:div>
            <w:div w:id="1063867856">
              <w:marLeft w:val="0"/>
              <w:marRight w:val="0"/>
              <w:marTop w:val="0"/>
              <w:marBottom w:val="0"/>
              <w:divBdr>
                <w:top w:val="none" w:sz="0" w:space="0" w:color="auto"/>
                <w:left w:val="none" w:sz="0" w:space="0" w:color="auto"/>
                <w:bottom w:val="none" w:sz="0" w:space="0" w:color="auto"/>
                <w:right w:val="none" w:sz="0" w:space="0" w:color="auto"/>
              </w:divBdr>
            </w:div>
            <w:div w:id="1086924079">
              <w:marLeft w:val="0"/>
              <w:marRight w:val="0"/>
              <w:marTop w:val="0"/>
              <w:marBottom w:val="0"/>
              <w:divBdr>
                <w:top w:val="none" w:sz="0" w:space="0" w:color="auto"/>
                <w:left w:val="none" w:sz="0" w:space="0" w:color="auto"/>
                <w:bottom w:val="none" w:sz="0" w:space="0" w:color="auto"/>
                <w:right w:val="none" w:sz="0" w:space="0" w:color="auto"/>
              </w:divBdr>
            </w:div>
            <w:div w:id="1712073611">
              <w:marLeft w:val="0"/>
              <w:marRight w:val="0"/>
              <w:marTop w:val="0"/>
              <w:marBottom w:val="0"/>
              <w:divBdr>
                <w:top w:val="none" w:sz="0" w:space="0" w:color="auto"/>
                <w:left w:val="none" w:sz="0" w:space="0" w:color="auto"/>
                <w:bottom w:val="none" w:sz="0" w:space="0" w:color="auto"/>
                <w:right w:val="none" w:sz="0" w:space="0" w:color="auto"/>
              </w:divBdr>
            </w:div>
            <w:div w:id="1740011647">
              <w:marLeft w:val="0"/>
              <w:marRight w:val="0"/>
              <w:marTop w:val="0"/>
              <w:marBottom w:val="0"/>
              <w:divBdr>
                <w:top w:val="none" w:sz="0" w:space="0" w:color="auto"/>
                <w:left w:val="none" w:sz="0" w:space="0" w:color="auto"/>
                <w:bottom w:val="none" w:sz="0" w:space="0" w:color="auto"/>
                <w:right w:val="none" w:sz="0" w:space="0" w:color="auto"/>
              </w:divBdr>
            </w:div>
            <w:div w:id="1794135812">
              <w:marLeft w:val="0"/>
              <w:marRight w:val="0"/>
              <w:marTop w:val="0"/>
              <w:marBottom w:val="0"/>
              <w:divBdr>
                <w:top w:val="none" w:sz="0" w:space="0" w:color="auto"/>
                <w:left w:val="none" w:sz="0" w:space="0" w:color="auto"/>
                <w:bottom w:val="none" w:sz="0" w:space="0" w:color="auto"/>
                <w:right w:val="none" w:sz="0" w:space="0" w:color="auto"/>
              </w:divBdr>
            </w:div>
            <w:div w:id="1919438957">
              <w:marLeft w:val="0"/>
              <w:marRight w:val="0"/>
              <w:marTop w:val="0"/>
              <w:marBottom w:val="0"/>
              <w:divBdr>
                <w:top w:val="none" w:sz="0" w:space="0" w:color="auto"/>
                <w:left w:val="none" w:sz="0" w:space="0" w:color="auto"/>
                <w:bottom w:val="none" w:sz="0" w:space="0" w:color="auto"/>
                <w:right w:val="none" w:sz="0" w:space="0" w:color="auto"/>
              </w:divBdr>
            </w:div>
            <w:div w:id="1930919107">
              <w:marLeft w:val="0"/>
              <w:marRight w:val="0"/>
              <w:marTop w:val="0"/>
              <w:marBottom w:val="0"/>
              <w:divBdr>
                <w:top w:val="none" w:sz="0" w:space="0" w:color="auto"/>
                <w:left w:val="none" w:sz="0" w:space="0" w:color="auto"/>
                <w:bottom w:val="none" w:sz="0" w:space="0" w:color="auto"/>
                <w:right w:val="none" w:sz="0" w:space="0" w:color="auto"/>
              </w:divBdr>
            </w:div>
            <w:div w:id="2053580278">
              <w:marLeft w:val="0"/>
              <w:marRight w:val="0"/>
              <w:marTop w:val="0"/>
              <w:marBottom w:val="0"/>
              <w:divBdr>
                <w:top w:val="none" w:sz="0" w:space="0" w:color="auto"/>
                <w:left w:val="none" w:sz="0" w:space="0" w:color="auto"/>
                <w:bottom w:val="none" w:sz="0" w:space="0" w:color="auto"/>
                <w:right w:val="none" w:sz="0" w:space="0" w:color="auto"/>
              </w:divBdr>
            </w:div>
            <w:div w:id="2089813129">
              <w:marLeft w:val="0"/>
              <w:marRight w:val="0"/>
              <w:marTop w:val="0"/>
              <w:marBottom w:val="0"/>
              <w:divBdr>
                <w:top w:val="none" w:sz="0" w:space="0" w:color="auto"/>
                <w:left w:val="none" w:sz="0" w:space="0" w:color="auto"/>
                <w:bottom w:val="none" w:sz="0" w:space="0" w:color="auto"/>
                <w:right w:val="none" w:sz="0" w:space="0" w:color="auto"/>
              </w:divBdr>
            </w:div>
          </w:divsChild>
        </w:div>
        <w:div w:id="1584488187">
          <w:marLeft w:val="0"/>
          <w:marRight w:val="0"/>
          <w:marTop w:val="0"/>
          <w:marBottom w:val="0"/>
          <w:divBdr>
            <w:top w:val="none" w:sz="0" w:space="0" w:color="auto"/>
            <w:left w:val="none" w:sz="0" w:space="0" w:color="auto"/>
            <w:bottom w:val="none" w:sz="0" w:space="0" w:color="auto"/>
            <w:right w:val="none" w:sz="0" w:space="0" w:color="auto"/>
          </w:divBdr>
        </w:div>
        <w:div w:id="1716538997">
          <w:marLeft w:val="0"/>
          <w:marRight w:val="0"/>
          <w:marTop w:val="0"/>
          <w:marBottom w:val="0"/>
          <w:divBdr>
            <w:top w:val="none" w:sz="0" w:space="0" w:color="auto"/>
            <w:left w:val="none" w:sz="0" w:space="0" w:color="auto"/>
            <w:bottom w:val="none" w:sz="0" w:space="0" w:color="auto"/>
            <w:right w:val="none" w:sz="0" w:space="0" w:color="auto"/>
          </w:divBdr>
        </w:div>
        <w:div w:id="1740711769">
          <w:marLeft w:val="0"/>
          <w:marRight w:val="0"/>
          <w:marTop w:val="0"/>
          <w:marBottom w:val="0"/>
          <w:divBdr>
            <w:top w:val="none" w:sz="0" w:space="0" w:color="auto"/>
            <w:left w:val="none" w:sz="0" w:space="0" w:color="auto"/>
            <w:bottom w:val="none" w:sz="0" w:space="0" w:color="auto"/>
            <w:right w:val="none" w:sz="0" w:space="0" w:color="auto"/>
          </w:divBdr>
        </w:div>
        <w:div w:id="1880434393">
          <w:marLeft w:val="0"/>
          <w:marRight w:val="0"/>
          <w:marTop w:val="0"/>
          <w:marBottom w:val="0"/>
          <w:divBdr>
            <w:top w:val="none" w:sz="0" w:space="0" w:color="auto"/>
            <w:left w:val="none" w:sz="0" w:space="0" w:color="auto"/>
            <w:bottom w:val="none" w:sz="0" w:space="0" w:color="auto"/>
            <w:right w:val="none" w:sz="0" w:space="0" w:color="auto"/>
          </w:divBdr>
        </w:div>
        <w:div w:id="1910462807">
          <w:marLeft w:val="0"/>
          <w:marRight w:val="0"/>
          <w:marTop w:val="0"/>
          <w:marBottom w:val="0"/>
          <w:divBdr>
            <w:top w:val="none" w:sz="0" w:space="0" w:color="auto"/>
            <w:left w:val="none" w:sz="0" w:space="0" w:color="auto"/>
            <w:bottom w:val="none" w:sz="0" w:space="0" w:color="auto"/>
            <w:right w:val="none" w:sz="0" w:space="0" w:color="auto"/>
          </w:divBdr>
        </w:div>
        <w:div w:id="1939411583">
          <w:marLeft w:val="0"/>
          <w:marRight w:val="0"/>
          <w:marTop w:val="0"/>
          <w:marBottom w:val="0"/>
          <w:divBdr>
            <w:top w:val="none" w:sz="0" w:space="0" w:color="auto"/>
            <w:left w:val="none" w:sz="0" w:space="0" w:color="auto"/>
            <w:bottom w:val="none" w:sz="0" w:space="0" w:color="auto"/>
            <w:right w:val="none" w:sz="0" w:space="0" w:color="auto"/>
          </w:divBdr>
        </w:div>
        <w:div w:id="2015763789">
          <w:marLeft w:val="0"/>
          <w:marRight w:val="0"/>
          <w:marTop w:val="0"/>
          <w:marBottom w:val="0"/>
          <w:divBdr>
            <w:top w:val="none" w:sz="0" w:space="0" w:color="auto"/>
            <w:left w:val="none" w:sz="0" w:space="0" w:color="auto"/>
            <w:bottom w:val="none" w:sz="0" w:space="0" w:color="auto"/>
            <w:right w:val="none" w:sz="0" w:space="0" w:color="auto"/>
          </w:divBdr>
        </w:div>
        <w:div w:id="2021394071">
          <w:marLeft w:val="0"/>
          <w:marRight w:val="0"/>
          <w:marTop w:val="0"/>
          <w:marBottom w:val="0"/>
          <w:divBdr>
            <w:top w:val="none" w:sz="0" w:space="0" w:color="auto"/>
            <w:left w:val="none" w:sz="0" w:space="0" w:color="auto"/>
            <w:bottom w:val="none" w:sz="0" w:space="0" w:color="auto"/>
            <w:right w:val="none" w:sz="0" w:space="0" w:color="auto"/>
          </w:divBdr>
        </w:div>
        <w:div w:id="2050563525">
          <w:marLeft w:val="0"/>
          <w:marRight w:val="0"/>
          <w:marTop w:val="0"/>
          <w:marBottom w:val="0"/>
          <w:divBdr>
            <w:top w:val="none" w:sz="0" w:space="0" w:color="auto"/>
            <w:left w:val="none" w:sz="0" w:space="0" w:color="auto"/>
            <w:bottom w:val="none" w:sz="0" w:space="0" w:color="auto"/>
            <w:right w:val="none" w:sz="0" w:space="0" w:color="auto"/>
          </w:divBdr>
        </w:div>
        <w:div w:id="2071345249">
          <w:marLeft w:val="0"/>
          <w:marRight w:val="0"/>
          <w:marTop w:val="0"/>
          <w:marBottom w:val="0"/>
          <w:divBdr>
            <w:top w:val="none" w:sz="0" w:space="0" w:color="auto"/>
            <w:left w:val="none" w:sz="0" w:space="0" w:color="auto"/>
            <w:bottom w:val="none" w:sz="0" w:space="0" w:color="auto"/>
            <w:right w:val="none" w:sz="0" w:space="0" w:color="auto"/>
          </w:divBdr>
        </w:div>
      </w:divsChild>
    </w:div>
    <w:div w:id="1755274992">
      <w:bodyDiv w:val="1"/>
      <w:marLeft w:val="0"/>
      <w:marRight w:val="0"/>
      <w:marTop w:val="0"/>
      <w:marBottom w:val="0"/>
      <w:divBdr>
        <w:top w:val="none" w:sz="0" w:space="0" w:color="auto"/>
        <w:left w:val="none" w:sz="0" w:space="0" w:color="auto"/>
        <w:bottom w:val="none" w:sz="0" w:space="0" w:color="auto"/>
        <w:right w:val="none" w:sz="0" w:space="0" w:color="auto"/>
      </w:divBdr>
      <w:divsChild>
        <w:div w:id="486170056">
          <w:marLeft w:val="0"/>
          <w:marRight w:val="0"/>
          <w:marTop w:val="0"/>
          <w:marBottom w:val="0"/>
          <w:divBdr>
            <w:top w:val="none" w:sz="0" w:space="0" w:color="auto"/>
            <w:left w:val="none" w:sz="0" w:space="0" w:color="auto"/>
            <w:bottom w:val="none" w:sz="0" w:space="0" w:color="auto"/>
            <w:right w:val="none" w:sz="0" w:space="0" w:color="auto"/>
          </w:divBdr>
          <w:divsChild>
            <w:div w:id="893199416">
              <w:marLeft w:val="0"/>
              <w:marRight w:val="0"/>
              <w:marTop w:val="0"/>
              <w:marBottom w:val="0"/>
              <w:divBdr>
                <w:top w:val="none" w:sz="0" w:space="0" w:color="auto"/>
                <w:left w:val="none" w:sz="0" w:space="0" w:color="auto"/>
                <w:bottom w:val="none" w:sz="0" w:space="0" w:color="auto"/>
                <w:right w:val="none" w:sz="0" w:space="0" w:color="auto"/>
              </w:divBdr>
              <w:divsChild>
                <w:div w:id="10344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8375">
      <w:bodyDiv w:val="1"/>
      <w:marLeft w:val="0"/>
      <w:marRight w:val="0"/>
      <w:marTop w:val="0"/>
      <w:marBottom w:val="0"/>
      <w:divBdr>
        <w:top w:val="none" w:sz="0" w:space="0" w:color="auto"/>
        <w:left w:val="none" w:sz="0" w:space="0" w:color="auto"/>
        <w:bottom w:val="none" w:sz="0" w:space="0" w:color="auto"/>
        <w:right w:val="none" w:sz="0" w:space="0" w:color="auto"/>
      </w:divBdr>
      <w:divsChild>
        <w:div w:id="25568598">
          <w:marLeft w:val="0"/>
          <w:marRight w:val="0"/>
          <w:marTop w:val="0"/>
          <w:marBottom w:val="0"/>
          <w:divBdr>
            <w:top w:val="none" w:sz="0" w:space="0" w:color="auto"/>
            <w:left w:val="none" w:sz="0" w:space="0" w:color="auto"/>
            <w:bottom w:val="none" w:sz="0" w:space="0" w:color="auto"/>
            <w:right w:val="none" w:sz="0" w:space="0" w:color="auto"/>
          </w:divBdr>
          <w:divsChild>
            <w:div w:id="1634631135">
              <w:marLeft w:val="0"/>
              <w:marRight w:val="0"/>
              <w:marTop w:val="0"/>
              <w:marBottom w:val="0"/>
              <w:divBdr>
                <w:top w:val="none" w:sz="0" w:space="0" w:color="auto"/>
                <w:left w:val="none" w:sz="0" w:space="0" w:color="auto"/>
                <w:bottom w:val="none" w:sz="0" w:space="0" w:color="auto"/>
                <w:right w:val="none" w:sz="0" w:space="0" w:color="auto"/>
              </w:divBdr>
              <w:divsChild>
                <w:div w:id="2085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ndis.gov.au/providers/pricing-arrang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ata.gov.au/dataset/ds-dga-e258b678-eb6b-4ebb-92d8-0fe7c1122c42/distribution/dist-dga-9d12c183-72f5-4cfe-9a71-ea4090623dea/details?q=DES%20monthly%20dat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955B7722-2203-4938-90BC-2FC1F624C282}">
    <t:Anchor>
      <t:Comment id="1472803435"/>
    </t:Anchor>
    <t:History>
      <t:Event id="{CF61FACF-49F5-4D96-ACA5-D8562853A9C5}" time="2024-10-30T22:20:32.295Z">
        <t:Attribution userId="S::andrew.beswick@nds.org.au::2ae17bd3-5838-4b45-9c4c-edfb1257f5bd" userProvider="AD" userName="Andrew Beswick"/>
        <t:Anchor>
          <t:Comment id="516956774"/>
        </t:Anchor>
        <t:Create/>
      </t:Event>
      <t:Event id="{675A06DF-F69F-4054-BC86-A8A014309ECA}" time="2024-10-30T22:20:32.295Z">
        <t:Attribution userId="S::andrew.beswick@nds.org.au::2ae17bd3-5838-4b45-9c4c-edfb1257f5bd" userProvider="AD" userName="Andrew Beswick"/>
        <t:Anchor>
          <t:Comment id="516956774"/>
        </t:Anchor>
        <t:Assign userId="S::karen.stace@nds.org.au::24c3c66f-196e-48b9-9322-c58815e7f084" userProvider="AD" userName="Karen Stace"/>
      </t:Event>
      <t:Event id="{01EC8DD7-3C5C-49B9-9069-4701B57E04C4}" time="2024-10-30T22:20:32.295Z">
        <t:Attribution userId="S::andrew.beswick@nds.org.au::2ae17bd3-5838-4b45-9c4c-edfb1257f5bd" userProvider="AD" userName="Andrew Beswick"/>
        <t:Anchor>
          <t:Comment id="516956774"/>
        </t:Anchor>
        <t:SetTitle title="I reckon that works. But @Karen Stace I also wonder (belatedly) if we are overplaying the sentiment if providers are in a cranky mood and looking to govt and NDS to help them out?"/>
      </t:Event>
      <t:Event id="{06D7AF2F-261C-40D1-BBBB-42BC39BD5E56}" time="2024-10-30T22:50:52.062Z">
        <t:Attribution userId="S::andrew.beswick@nds.org.au::2ae17bd3-5838-4b45-9c4c-edfb1257f5bd" userProvider="AD" userName="Andrew Beswick"/>
        <t:Anchor>
          <t:Comment id="1699203133"/>
        </t:Anchor>
        <t:UnassignAll/>
      </t:Event>
      <t:Event id="{531D4EC1-0337-4C5D-9FDA-A57367F2312D}" time="2024-10-30T22:50:52.062Z">
        <t:Attribution userId="S::andrew.beswick@nds.org.au::2ae17bd3-5838-4b45-9c4c-edfb1257f5bd" userProvider="AD" userName="Andrew Beswick"/>
        <t:Anchor>
          <t:Comment id="1699203133"/>
        </t:Anchor>
        <t:Assign userId="S::b.streater@nds.org.au::c649caea-f2c2-4413-8358-c90bec23cdb6" userProvider="AD" userName="Beverley Streater"/>
      </t:Event>
    </t:History>
  </t:Task>
  <t:Task id="{7550ECAE-3C64-46A7-A210-9BA48744FC21}">
    <t:Anchor>
      <t:Comment id="877006605"/>
    </t:Anchor>
    <t:History>
      <t:Event id="{467568A3-86C5-417C-8F2F-47FA27E2C81E}" time="2024-10-20T21:48:31.113Z">
        <t:Attribution userId="S::andrew.beswick@nds.org.au::2ae17bd3-5838-4b45-9c4c-edfb1257f5bd" userProvider="AD" userName="Andrew Beswick"/>
        <t:Anchor>
          <t:Comment id="111558687"/>
        </t:Anchor>
        <t:Create/>
      </t:Event>
      <t:Event id="{479206F1-FDB2-4D97-94BD-00C1B187FE49}" time="2024-10-20T21:48:31.113Z">
        <t:Attribution userId="S::andrew.beswick@nds.org.au::2ae17bd3-5838-4b45-9c4c-edfb1257f5bd" userProvider="AD" userName="Andrew Beswick"/>
        <t:Anchor>
          <t:Comment id="111558687"/>
        </t:Anchor>
        <t:Assign userId="S::karen.stace@nds.org.au::24c3c66f-196e-48b9-9322-c58815e7f084" userProvider="AD" userName="Karen Stace"/>
      </t:Event>
      <t:Event id="{57A8556C-0EF2-4982-BE9F-A9559E921975}" time="2024-10-20T21:48:31.113Z">
        <t:Attribution userId="S::andrew.beswick@nds.org.au::2ae17bd3-5838-4b45-9c4c-edfb1257f5bd" userProvider="AD" userName="Andrew Beswick"/>
        <t:Anchor>
          <t:Comment id="111558687"/>
        </t:Anchor>
        <t:SetTitle title="@Karen Stace amended this section"/>
      </t:Event>
      <t:Event id="{E7F0E3DA-8376-4341-829B-D653FB00E5B4}" time="2024-10-20T22:50:57.228Z">
        <t:Attribution userId="S::b.streater@nds.org.au::c649caea-f2c2-4413-8358-c90bec23cdb6" userProvider="AD" userName="Beverley Streater"/>
        <t:Progress percentComplete="100"/>
      </t:Event>
    </t:History>
  </t:Task>
  <t:Task id="{191390FF-143D-4D64-87B5-134476231CCC}">
    <t:Anchor>
      <t:Comment id="926824298"/>
    </t:Anchor>
    <t:History>
      <t:Event id="{3B4DC172-7EDB-408E-961A-626D5DDFF2A1}" time="2024-10-29T01:53:21.65Z">
        <t:Attribution userId="S::b.streater@nds.org.au::c649caea-f2c2-4413-8358-c90bec23cdb6" userProvider="AD" userName="Beverley Streater"/>
        <t:Anchor>
          <t:Comment id="926824298"/>
        </t:Anchor>
        <t:Create/>
      </t:Event>
      <t:Event id="{8043033C-B228-4527-BEF6-BAF2A56FC104}" time="2024-10-29T01:53:21.65Z">
        <t:Attribution userId="S::b.streater@nds.org.au::c649caea-f2c2-4413-8358-c90bec23cdb6" userProvider="AD" userName="Beverley Streater"/>
        <t:Anchor>
          <t:Comment id="926824298"/>
        </t:Anchor>
        <t:Assign userId="S::andrew.beswick@nds.org.au::2ae17bd3-5838-4b45-9c4c-edfb1257f5bd" userProvider="AD" userName="Andrew Beswick"/>
      </t:Event>
      <t:Event id="{360DCDBD-DF35-4EC7-A4DE-AD8F30ABE086}" time="2024-10-29T01:53:21.65Z">
        <t:Attribution userId="S::b.streater@nds.org.au::c649caea-f2c2-4413-8358-c90bec23cdb6" userProvider="AD" userName="Beverley Streater"/>
        <t:Anchor>
          <t:Comment id="926824298"/>
        </t:Anchor>
        <t:SetTitle title="@Andrew Beswick do you want a new version without the resolved comments showing?"/>
      </t:Event>
      <t:Event id="{721670F5-DBF1-4708-9C97-F9AFA4A15807}" time="2024-10-29T02:07:58.517Z">
        <t:Attribution userId="S::andrew.beswick@nds.org.au::2ae17bd3-5838-4b45-9c4c-edfb1257f5bd" userProvider="AD" userName="Andrew Beswick"/>
        <t:Anchor>
          <t:Comment id="1670246317"/>
        </t:Anchor>
        <t:UnassignAll/>
      </t:Event>
      <t:Event id="{63617D9A-93A1-46DC-B434-DDCB2E6D417B}" time="2024-10-29T02:07:58.517Z">
        <t:Attribution userId="S::andrew.beswick@nds.org.au::2ae17bd3-5838-4b45-9c4c-edfb1257f5bd" userProvider="AD" userName="Andrew Beswick"/>
        <t:Anchor>
          <t:Comment id="1670246317"/>
        </t:Anchor>
        <t:Assign userId="S::b.streater@nds.org.au::c649caea-f2c2-4413-8358-c90bec23cdb6" userProvider="AD" userName="Beverley Streater"/>
      </t:Event>
    </t:History>
  </t:Task>
  <t:Task id="{98D7716E-B4A8-4E43-BAAE-21B47DAF58FB}">
    <t:Anchor>
      <t:Comment id="1207446840"/>
    </t:Anchor>
    <t:History>
      <t:Event id="{BA86C3E0-A945-4B50-931F-57CF2C1A58AF}" time="2024-09-16T23:08:32.614Z">
        <t:Attribution userId="S::b.streater@nds.org.au::c649caea-f2c2-4413-8358-c90bec23cdb6" userProvider="AD" userName="Beverley Streater"/>
        <t:Anchor>
          <t:Comment id="1207446840"/>
        </t:Anchor>
        <t:Create/>
      </t:Event>
      <t:Event id="{F69E3BB4-55B3-44A0-A88C-3D8AD0F0B49F}" time="2024-09-16T23:08:32.614Z">
        <t:Attribution userId="S::b.streater@nds.org.au::c649caea-f2c2-4413-8358-c90bec23cdb6" userProvider="AD" userName="Beverley Streater"/>
        <t:Anchor>
          <t:Comment id="1207446840"/>
        </t:Anchor>
        <t:Assign userId="S::karen.stace@nds.org.au::24c3c66f-196e-48b9-9322-c58815e7f084" userProvider="AD" userName="Karen Stace"/>
      </t:Event>
      <t:Event id="{A2A80EE4-F5E1-48D8-B4D2-ADF1BA3D56ED}" time="2024-09-16T23:08:32.614Z">
        <t:Attribution userId="S::b.streater@nds.org.au::c649caea-f2c2-4413-8358-c90bec23cdb6" userProvider="AD" userName="Beverley Streater"/>
        <t:Anchor>
          <t:Comment id="1207446840"/>
        </t:Anchor>
        <t:SetTitle title="Is it possible to break up this sentence and maintain its integrity? @Karen Stace"/>
      </t:Event>
      <t:Event id="{1EF5E2FE-11EE-7D4D-ACC4-24A5089988EE}" time="2024-09-22T00:58:35.255Z">
        <t:Attribution userId="S::b.streater@nds.org.au::c649caea-f2c2-4413-8358-c90bec23cdb6" userProvider="AD" userName="Beverley Streater"/>
        <t:Progress percentComplete="100"/>
      </t:Event>
    </t:History>
  </t:Task>
  <t:Task id="{BE4727D6-7D57-4D71-814F-B220AE88A015}">
    <t:Anchor>
      <t:Comment id="499736543"/>
    </t:Anchor>
    <t:History>
      <t:Event id="{7FBA5178-5EB6-4E9B-9DC6-73DA8522394D}" time="2024-10-28T22:39:08.08Z">
        <t:Attribution userId="S::b.streater@nds.org.au::c649caea-f2c2-4413-8358-c90bec23cdb6" userProvider="AD" userName="Beverley Streater"/>
        <t:Anchor>
          <t:Comment id="271550585"/>
        </t:Anchor>
        <t:Create/>
      </t:Event>
      <t:Event id="{4AE8AD54-453B-4CCE-A99D-1E2EB49BE9DE}" time="2024-10-28T22:39:08.08Z">
        <t:Attribution userId="S::b.streater@nds.org.au::c649caea-f2c2-4413-8358-c90bec23cdb6" userProvider="AD" userName="Beverley Streater"/>
        <t:Anchor>
          <t:Comment id="271550585"/>
        </t:Anchor>
        <t:Assign userId="S::karen.stace@nds.org.au::24c3c66f-196e-48b9-9322-c58815e7f084" userProvider="AD" userName="Karen Stace"/>
      </t:Event>
      <t:Event id="{DDF24B33-DE9F-4284-A897-6C882FC86274}" time="2024-10-28T22:39:08.08Z">
        <t:Attribution userId="S::b.streater@nds.org.au::c649caea-f2c2-4413-8358-c90bec23cdb6" userProvider="AD" userName="Beverley Streater"/>
        <t:Anchor>
          <t:Comment id="271550585"/>
        </t:Anchor>
        <t:SetTitle title="@Karen Stace at this stage, perhaps you can go ahead and accept/modify Paul's suggested changes. I think it would be more time efficient."/>
      </t:Event>
      <t:Event id="{737DD975-84B3-4D50-8E47-BA782B09BE07}" time="2024-10-29T01:14:03.648Z">
        <t:Attribution userId="S::karen.stace@nds.org.au::24c3c66f-196e-48b9-9322-c58815e7f084" userProvider="AD" userName="Karen Stace"/>
        <t:Progress percentComplete="100"/>
      </t:Event>
    </t:History>
  </t:Task>
  <t:Task id="{DC77343A-5964-42DB-BEEC-70BF9C24C4B8}">
    <t:Anchor>
      <t:Comment id="479763903"/>
    </t:Anchor>
    <t:History>
      <t:Event id="{B1DD9CC6-2A7E-4E4A-BCF7-B54A6204292F}" time="2024-10-29T01:52:15.553Z">
        <t:Attribution userId="S::b.streater@nds.org.au::c649caea-f2c2-4413-8358-c90bec23cdb6" userProvider="AD" userName="Beverley Streater"/>
        <t:Anchor>
          <t:Comment id="479763903"/>
        </t:Anchor>
        <t:Create/>
      </t:Event>
      <t:Event id="{C21452F7-9F4B-4EE6-8A65-552E4CF9A271}" time="2024-10-29T01:52:15.553Z">
        <t:Attribution userId="S::b.streater@nds.org.au::c649caea-f2c2-4413-8358-c90bec23cdb6" userProvider="AD" userName="Beverley Streater"/>
        <t:Anchor>
          <t:Comment id="479763903"/>
        </t:Anchor>
        <t:Assign userId="S::andrew.beswick@nds.org.au::2ae17bd3-5838-4b45-9c4c-edfb1257f5bd" userProvider="AD" userName="Andrew Beswick"/>
      </t:Event>
      <t:Event id="{017766D1-A79D-44E6-B0FD-D24B6047A368}" time="2024-10-29T01:52:15.553Z">
        <t:Attribution userId="S::b.streater@nds.org.au::c649caea-f2c2-4413-8358-c90bec23cdb6" userProvider="AD" userName="Beverley Streater"/>
        <t:Anchor>
          <t:Comment id="479763903"/>
        </t:Anchor>
        <t:SetTitle title="@Andrew Beswick , shd we either change this heading to 'Act'?"/>
      </t:Event>
      <t:Event id="{3918C3E3-1A92-4825-BADD-CF8A5DAFEC87}" time="2024-10-29T02:05:38.69Z">
        <t:Attribution userId="S::andrew.beswick@nds.org.au::2ae17bd3-5838-4b45-9c4c-edfb1257f5bd" userProvider="AD" userName="Andrew Beswick"/>
        <t:Anchor>
          <t:Comment id="1714726226"/>
        </t:Anchor>
        <t:UnassignAll/>
      </t:Event>
      <t:Event id="{A2114903-5FB4-4AE2-B158-EA4305AD5449}" time="2024-10-29T02:05:38.69Z">
        <t:Attribution userId="S::andrew.beswick@nds.org.au::2ae17bd3-5838-4b45-9c4c-edfb1257f5bd" userProvider="AD" userName="Andrew Beswick"/>
        <t:Anchor>
          <t:Comment id="1714726226"/>
        </t:Anchor>
        <t:Assign userId="S::b.streater@nds.org.au::c649caea-f2c2-4413-8358-c90bec23cdb6" userProvider="AD" userName="Beverley Strea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F16F94BC743045A53480874347CCC3" ma:contentTypeVersion="16" ma:contentTypeDescription="Create a new document." ma:contentTypeScope="" ma:versionID="a3fef61846e20978913379daa2569c4c">
  <xsd:schema xmlns:xsd="http://www.w3.org/2001/XMLSchema" xmlns:xs="http://www.w3.org/2001/XMLSchema" xmlns:p="http://schemas.microsoft.com/office/2006/metadata/properties" xmlns:ns2="8859847c-fdf5-4033-96e5-951c2e2ddf8c" xmlns:ns3="ce44da1b-bbe8-4449-ab39-540c38baf36d" targetNamespace="http://schemas.microsoft.com/office/2006/metadata/properties" ma:root="true" ma:fieldsID="062b592a308e4ae29faa4c542677aee1" ns2:_="" ns3:_="">
    <xsd:import namespace="8859847c-fdf5-4033-96e5-951c2e2ddf8c"/>
    <xsd:import namespace="ce44da1b-bbe8-4449-ab39-540c38baf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847c-fdf5-4033-96e5-951c2e2dd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146967-9866-4778-ba26-933aaed0ed7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4da1b-bbe8-4449-ab39-540c38baf3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ef3040-9cde-4564-b44e-f012f4c88a0e}" ma:internalName="TaxCatchAll" ma:showField="CatchAllData" ma:web="ce44da1b-bbe8-4449-ab39-540c38baf36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59847c-fdf5-4033-96e5-951c2e2ddf8c">
      <Terms xmlns="http://schemas.microsoft.com/office/infopath/2007/PartnerControls"/>
    </lcf76f155ced4ddcb4097134ff3c332f>
    <TaxCatchAll xmlns="ce44da1b-bbe8-4449-ab39-540c38baf36d" xsi:nil="true"/>
  </documentManagement>
</p:properties>
</file>

<file path=customXml/itemProps1.xml><?xml version="1.0" encoding="utf-8"?>
<ds:datastoreItem xmlns:ds="http://schemas.openxmlformats.org/officeDocument/2006/customXml" ds:itemID="{8179CFDE-5AC5-4D98-A793-E0281EE35989}">
  <ds:schemaRefs>
    <ds:schemaRef ds:uri="http://schemas.openxmlformats.org/officeDocument/2006/bibliography"/>
  </ds:schemaRefs>
</ds:datastoreItem>
</file>

<file path=customXml/itemProps2.xml><?xml version="1.0" encoding="utf-8"?>
<ds:datastoreItem xmlns:ds="http://schemas.openxmlformats.org/officeDocument/2006/customXml" ds:itemID="{11CE4BCA-5052-4E07-B3F6-62204AB226CD}">
  <ds:schemaRefs>
    <ds:schemaRef ds:uri="http://schemas.microsoft.com/sharepoint/v3/contenttype/forms"/>
  </ds:schemaRefs>
</ds:datastoreItem>
</file>

<file path=customXml/itemProps3.xml><?xml version="1.0" encoding="utf-8"?>
<ds:datastoreItem xmlns:ds="http://schemas.openxmlformats.org/officeDocument/2006/customXml" ds:itemID="{22F7DB2D-2A05-4FEB-AD95-3816F4E5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847c-fdf5-4033-96e5-951c2e2ddf8c"/>
    <ds:schemaRef ds:uri="ce44da1b-bbe8-4449-ab39-540c38baf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0DF3A-E836-4633-AE81-DE39FCED7547}">
  <ds:schemaRefs>
    <ds:schemaRef ds:uri="http://schemas.microsoft.com/office/2006/metadata/properties"/>
    <ds:schemaRef ds:uri="http://schemas.microsoft.com/office/infopath/2007/PartnerControls"/>
    <ds:schemaRef ds:uri="8859847c-fdf5-4033-96e5-951c2e2ddf8c"/>
    <ds:schemaRef ds:uri="ce44da1b-bbe8-4449-ab39-540c38baf36d"/>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115</Pages>
  <Words>26624</Words>
  <Characters>151762</Characters>
  <Application>Microsoft Office Word</Application>
  <DocSecurity>0</DocSecurity>
  <Lines>1264</Lines>
  <Paragraphs>356</Paragraphs>
  <ScaleCrop>false</ScaleCrop>
  <HeadingPairs>
    <vt:vector size="2" baseType="variant">
      <vt:variant>
        <vt:lpstr>Title</vt:lpstr>
      </vt:variant>
      <vt:variant>
        <vt:i4>1</vt:i4>
      </vt:variant>
    </vt:vector>
  </HeadingPairs>
  <TitlesOfParts>
    <vt:vector size="1" baseType="lpstr">
      <vt:lpstr>Accessible SOTDS 2024</vt:lpstr>
    </vt:vector>
  </TitlesOfParts>
  <Company>NDS</Company>
  <LinksUpToDate>false</LinksUpToDate>
  <CharactersWithSpaces>178030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 State of the Disability Sector</dc:title>
  <dc:subject/>
  <dc:creator>Karen Stace</dc:creator>
  <cp:keywords/>
  <dc:description/>
  <cp:lastModifiedBy>Carolina Pachioli</cp:lastModifiedBy>
  <cp:revision>84</cp:revision>
  <dcterms:created xsi:type="dcterms:W3CDTF">2024-11-01T17:10:00Z</dcterms:created>
  <dcterms:modified xsi:type="dcterms:W3CDTF">2024-12-07T14:25:00Z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34169a-b8a6-47f5-956b-270242f9573f_Enabled">
    <vt:lpwstr>true</vt:lpwstr>
  </property>
  <property fmtid="{D5CDD505-2E9C-101B-9397-08002B2CF9AE}" pid="3" name="MSIP_Label_0334169a-b8a6-47f5-956b-270242f9573f_SetDate">
    <vt:lpwstr>2024-10-22T07:14:08Z</vt:lpwstr>
  </property>
  <property fmtid="{D5CDD505-2E9C-101B-9397-08002B2CF9AE}" pid="4" name="MSIP_Label_0334169a-b8a6-47f5-956b-270242f9573f_Method">
    <vt:lpwstr>Standard</vt:lpwstr>
  </property>
  <property fmtid="{D5CDD505-2E9C-101B-9397-08002B2CF9AE}" pid="5" name="MSIP_Label_0334169a-b8a6-47f5-956b-270242f9573f_Name">
    <vt:lpwstr>Public</vt:lpwstr>
  </property>
  <property fmtid="{D5CDD505-2E9C-101B-9397-08002B2CF9AE}" pid="6" name="MSIP_Label_0334169a-b8a6-47f5-956b-270242f9573f_SiteId">
    <vt:lpwstr>deecb793-0e16-4058-b375-d870b77c5f00</vt:lpwstr>
  </property>
  <property fmtid="{D5CDD505-2E9C-101B-9397-08002B2CF9AE}" pid="7" name="MSIP_Label_0334169a-b8a6-47f5-956b-270242f9573f_ActionId">
    <vt:lpwstr>f109b60e-007c-44cd-a36c-eb531a4691b2</vt:lpwstr>
  </property>
  <property fmtid="{D5CDD505-2E9C-101B-9397-08002B2CF9AE}" pid="8" name="MSIP_Label_0334169a-b8a6-47f5-956b-270242f9573f_ContentBits">
    <vt:lpwstr>0</vt:lpwstr>
  </property>
  <property fmtid="{D5CDD505-2E9C-101B-9397-08002B2CF9AE}" pid="9" name="ContentTypeId">
    <vt:lpwstr>0x01010088F16F94BC743045A53480874347CCC3</vt:lpwstr>
  </property>
  <property fmtid="{D5CDD505-2E9C-101B-9397-08002B2CF9AE}" pid="10" name="MediaServiceImageTags">
    <vt:lpwstr/>
  </property>
</Properties>
</file>